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Pr>
      <w:tblGrid>
        <w:gridCol w:w="9072"/>
      </w:tblGrid>
      <w:tr>
        <w:tc>
          <w:tcPr>
            <w:tcW w:type="dxa" w:w="9072"/>
            <w:shd w:val="clear" w:color="auto" w:fill="0A182E"/>
          </w:tcPr>
          <w:p>
            <w:pPr>
              <w:jc w:val="left"/>
              <w:spacing w:before="80" w:after="80"/>
            </w:pPr>
            <w:r>
              <w:rPr>
                <w:b/>
                <w:color w:val="00D4FF"/>
                <w:sz w:val="22"/>
              </w:rPr>
              <w:t xml:space="preserve">  »  DBMigrateAIPro</w:t>
            </w:r>
            <w:r>
              <w:rPr>
                <w:color w:val="5A6A84"/>
                <w:sz w:val="18"/>
              </w:rPr>
              <w:t xml:space="preserve">   by MedaXAI  ·  medaxai.com</w:t>
            </w:r>
          </w:p>
        </w:tc>
      </w:tr>
    </w:tbl>
    <w:p/>
    <w:p/>
    <w:p/>
    <w:p>
      <w:pPr>
        <w:jc w:val="center"/>
        <w:spacing w:before="0" w:after="120"/>
      </w:pPr>
      <w:r>
        <w:rPr>
          <w:b/>
          <w:color w:val="0A182E"/>
          <w:sz w:val="72"/>
        </w:rPr>
        <w:t>Oracle  →  PostgreSQL</w:t>
        <w:br/>
      </w:r>
      <w:r>
        <w:rPr>
          <w:b/>
          <w:color w:val="0074D9"/>
          <w:sz w:val="56"/>
        </w:rPr>
        <w:t>Enterprise Migration Guide</w:t>
      </w:r>
    </w:p>
    <w:p>
      <w:pPr>
        <w:jc w:val="center"/>
        <w:spacing w:before="80" w:after="200"/>
      </w:pPr>
      <w:r>
        <w:rPr>
          <w:color w:val="5A6A84"/>
          <w:sz w:val="28"/>
        </w:rPr>
        <w:t xml:space="preserve">Powered by  </w:t>
      </w:r>
      <w:r>
        <w:rPr>
          <w:b/>
          <w:color w:val="00D4FF"/>
          <w:sz w:val="32"/>
        </w:rPr>
        <w:t>DBMigrateAIPro</w:t>
      </w:r>
      <w:r>
        <w:rPr>
          <w:i/>
          <w:color w:val="5A6A84"/>
          <w:sz w:val="22"/>
        </w:rPr>
        <w:t xml:space="preserve">  —  The Only Tool That Mathematically Proves Your Data Arrived Correctly</w:t>
      </w:r>
    </w:p>
    <w:p>
      <w:pPr>
        <w:jc w:val="center"/>
        <w:spacing w:before="0" w:after="200"/>
      </w:pPr>
      <w:r>
        <w:rPr>
          <w:color w:val="0074D9"/>
          <w:sz w:val="20"/>
        </w:rPr>
        <w:t>━━━━━━━━━━━━━━━━━━━━━━━━━━━━━━━━━━━━━━━━━━━━━━━━━━━━</w:t>
      </w:r>
    </w:p>
    <w:tbl>
      <w:tblPr>
        <w:tblW w:type="auto" w:w="0"/>
        <w:jc w:val="center"/>
        <w:tblLook w:firstColumn="1" w:firstRow="1" w:lastColumn="0" w:lastRow="0" w:noHBand="0" w:noVBand="1" w:val="04A0"/>
      </w:tblPr>
      <w:tblGrid>
        <w:gridCol w:w="2268"/>
        <w:gridCol w:w="2268"/>
        <w:gridCol w:w="2268"/>
        <w:gridCol w:w="2268"/>
      </w:tblGrid>
      <w:tr>
        <w:tc>
          <w:tcPr>
            <w:tcW w:type="dxa" w:w="2268"/>
            <w:shd w:val="clear" w:color="auto" w:fill="FF6B35"/>
          </w:tcPr>
          <w:p>
            <w:pPr>
              <w:jc w:val="center"/>
              <w:spacing w:before="120" w:after="40"/>
            </w:pPr>
            <w:r>
              <w:rPr>
                <w:sz w:val="40"/>
              </w:rPr>
              <w:t>⚡</w:t>
              <w:br/>
            </w:r>
            <w:r>
              <w:rPr>
                <w:b/>
                <w:color w:val="FFFFFF"/>
                <w:sz w:val="20"/>
              </w:rPr>
              <w:t>Flash</w:t>
              <w:br/>
              <w:t>Direct Pipe</w:t>
              <w:br/>
            </w:r>
            <w:r>
              <w:rPr>
                <w:color w:val="DDEEFF"/>
                <w:sz w:val="17"/>
              </w:rPr>
              <w:t>3–5× Faster</w:t>
              <w:br/>
              <w:t>Data Load</w:t>
            </w:r>
          </w:p>
        </w:tc>
        <w:tc>
          <w:tcPr>
            <w:tcW w:type="dxa" w:w="2268"/>
            <w:shd w:val="clear" w:color="auto" w:fill="2DBa6E"/>
          </w:tcPr>
          <w:p>
            <w:pPr>
              <w:jc w:val="center"/>
              <w:spacing w:before="120" w:after="40"/>
            </w:pPr>
            <w:r>
              <w:rPr>
                <w:sz w:val="40"/>
              </w:rPr>
              <w:t>🔐</w:t>
              <w:br/>
            </w:r>
            <w:r>
              <w:rPr>
                <w:b/>
                <w:color w:val="FFFFFF"/>
                <w:sz w:val="20"/>
              </w:rPr>
              <w:t>Merkle-Tree</w:t>
              <w:br/>
              <w:t>Validation</w:t>
              <w:br/>
            </w:r>
            <w:r>
              <w:rPr>
                <w:color w:val="DDEEFF"/>
                <w:sz w:val="17"/>
              </w:rPr>
              <w:t>Cryptographic</w:t>
              <w:br/>
              <w:t>Proof of Integrity</w:t>
            </w:r>
          </w:p>
        </w:tc>
        <w:tc>
          <w:tcPr>
            <w:tcW w:type="dxa" w:w="2268"/>
            <w:shd w:val="clear" w:color="auto" w:fill="0074D9"/>
          </w:tcPr>
          <w:p>
            <w:pPr>
              <w:jc w:val="center"/>
              <w:spacing w:before="120" w:after="40"/>
            </w:pPr>
            <w:r>
              <w:rPr>
                <w:sz w:val="40"/>
              </w:rPr>
              <w:t>🤖</w:t>
              <w:br/>
            </w:r>
            <w:r>
              <w:rPr>
                <w:b/>
                <w:color w:val="FFFFFF"/>
                <w:sz w:val="20"/>
              </w:rPr>
              <w:t>AI Migration</w:t>
              <w:br/>
              <w:t>Advisor</w:t>
              <w:br/>
            </w:r>
            <w:r>
              <w:rPr>
                <w:color w:val="DDEEFF"/>
                <w:sz w:val="17"/>
              </w:rPr>
              <w:t>95% Auto-Convert</w:t>
              <w:br/>
              <w:t>5% Gap Report</w:t>
            </w:r>
          </w:p>
        </w:tc>
        <w:tc>
          <w:tcPr>
            <w:tcW w:type="dxa" w:w="2268"/>
            <w:shd w:val="clear" w:color="auto" w:fill="9D4FDB"/>
          </w:tcPr>
          <w:p>
            <w:pPr>
              <w:jc w:val="center"/>
              <w:spacing w:before="120" w:after="40"/>
            </w:pPr>
            <w:r>
              <w:rPr>
                <w:sz w:val="40"/>
              </w:rPr>
              <w:t>📊</w:t>
              <w:br/>
            </w:r>
            <w:r>
              <w:rPr>
                <w:b/>
                <w:color w:val="FFFFFF"/>
                <w:sz w:val="20"/>
              </w:rPr>
              <w:t>Live HUD</w:t>
              <w:br/>
              <w:t>Monitoring</w:t>
              <w:br/>
            </w:r>
            <w:r>
              <w:rPr>
                <w:color w:val="DDEEFF"/>
                <w:sz w:val="17"/>
              </w:rPr>
              <w:t>Real-time</w:t>
              <w:br/>
              <w:t>Progress Overlay</w:t>
            </w:r>
          </w:p>
        </w:tc>
      </w:tr>
    </w:tbl>
    <w:p/>
    <w:p/>
    <w:tbl>
      <w:tblPr>
        <w:tblW w:type="auto" w:w="0"/>
        <w:jc w:val="center"/>
        <w:tblLook w:firstColumn="1" w:firstRow="1" w:lastColumn="0" w:lastRow="0" w:noHBand="0" w:noVBand="1" w:val="04A0"/>
      </w:tblPr>
      <w:tblGrid>
        <w:gridCol w:w="9072"/>
      </w:tblGrid>
      <w:tr>
        <w:tc>
          <w:tcPr>
            <w:tcW w:type="dxa" w:w="9072"/>
            <w:shd w:val="clear" w:color="auto" w:fill="EFF6FF"/>
            <w:tcBorders>
              <w:top w:val="single" w:sz="4" w:space="0" w:color="0074D9"/>
              <w:left w:val="single" w:sz="4" w:space="0" w:color="0074D9"/>
              <w:bottom w:val="single" w:sz="4" w:space="0" w:color="0074D9"/>
              <w:right w:val="single" w:sz="4" w:space="0" w:color="0074D9"/>
            </w:tcBorders>
          </w:tcPr>
          <w:p>
            <w:pPr>
              <w:spacing w:before="80" w:after="40"/>
            </w:pPr>
            <w:r>
              <w:rPr>
                <w:b/>
                <w:color w:val="0A182E"/>
                <w:sz w:val="22"/>
              </w:rPr>
              <w:t xml:space="preserve">  What This Guide Covers</w:t>
            </w:r>
          </w:p>
          <w:p>
            <w:pPr>
              <w:spacing w:before="0" w:after="20"/>
            </w:pPr>
            <w:r>
              <w:rPr>
                <w:color w:val="1A2438"/>
                <w:sz w:val="20"/>
              </w:rPr>
              <w:t xml:space="preserve">  ✦  Complete Oracle → PostgreSQL migration with DBMigrateAIPro — step by step</w:t>
            </w:r>
          </w:p>
          <w:p>
            <w:pPr>
              <w:spacing w:before="0" w:after="20"/>
            </w:pPr>
            <w:r>
              <w:rPr>
                <w:color w:val="1A2438"/>
                <w:sz w:val="20"/>
              </w:rPr>
              <w:t xml:space="preserve">  ✦  Data type mapping, schema conversion, PL/SQL translation — all automated</w:t>
            </w:r>
          </w:p>
          <w:p>
            <w:pPr>
              <w:spacing w:before="0" w:after="20"/>
            </w:pPr>
            <w:r>
              <w:rPr>
                <w:color w:val="1A2438"/>
                <w:sz w:val="20"/>
              </w:rPr>
              <w:t xml:space="preserve">  ✦  Flash Direct Pipe — how to achieve 3–5× faster migration than any competitor</w:t>
            </w:r>
          </w:p>
          <w:p>
            <w:pPr>
              <w:spacing w:before="0" w:after="20"/>
            </w:pPr>
            <w:r>
              <w:rPr>
                <w:color w:val="1A2438"/>
                <w:sz w:val="20"/>
              </w:rPr>
              <w:t xml:space="preserve">  ✦  Merkle-tree cryptographic validation — mathematical proof, not just row counts</w:t>
            </w:r>
          </w:p>
          <w:p>
            <w:pPr>
              <w:spacing w:before="0" w:after="20"/>
            </w:pPr>
            <w:r>
              <w:rPr>
                <w:color w:val="1A2438"/>
                <w:sz w:val="20"/>
              </w:rPr>
              <w:t xml:space="preserve">  ✦  Change Data Capture (CDC) for zero-downtime migration</w:t>
            </w:r>
          </w:p>
          <w:p>
            <w:pPr>
              <w:spacing w:before="0" w:after="20"/>
            </w:pPr>
            <w:r>
              <w:rPr>
                <w:color w:val="1A2438"/>
                <w:sz w:val="20"/>
              </w:rPr>
              <w:t xml:space="preserve">  ✦  Head-to-head comparison: DBMigrateAIPro vs ora2pg, AWS SCT/DMS, GoldenGate, EDB</w:t>
            </w:r>
          </w:p>
          <w:p>
            <w:pPr>
              <w:spacing w:before="0" w:after="20"/>
            </w:pPr>
            <w:r>
              <w:rPr>
                <w:color w:val="1A2438"/>
                <w:sz w:val="20"/>
              </w:rPr>
              <w:t xml:space="preserve">  ✦  Migration scenarios: on-prem → cloud, cloud → cloud, Oracle RDS → PG RDS</w:t>
            </w:r>
          </w:p>
          <w:p>
            <w:pPr>
              <w:spacing w:before="0" w:after="20"/>
            </w:pPr>
            <w:r>
              <w:rPr>
                <w:color w:val="1A2438"/>
                <w:sz w:val="20"/>
              </w:rPr>
              <w:t xml:space="preserve">  ✦  The 10 things DBMigrateAIPro does that no other tool can</w:t>
            </w:r>
          </w:p>
        </w:tc>
      </w:tr>
    </w:tbl>
    <w:p/>
    <w:p/>
    <w:p/>
    <w:p>
      <w:pPr>
        <w:jc w:val="center"/>
        <w:spacing w:before="0" w:after="40"/>
      </w:pPr>
      <w:r>
        <w:rPr>
          <w:color w:val="5A6A84"/>
          <w:sz w:val="18"/>
        </w:rPr>
        <w:t xml:space="preserve">Published by  </w:t>
      </w:r>
      <w:r>
        <w:rPr>
          <w:b/>
          <w:color w:val="0074D9"/>
          <w:sz w:val="20"/>
        </w:rPr>
        <w:t>MedaXAI</w:t>
      </w:r>
      <w:r>
        <w:rPr>
          <w:color w:val="5A6A84"/>
          <w:sz w:val="18"/>
        </w:rPr>
        <w:t xml:space="preserve">   ·   medaxai.com   ·   Version 1.1   ·   2026</w:t>
      </w:r>
    </w:p>
    <w:p>
      <w:pPr>
        <w:jc w:val="center"/>
        <w:spacing w:before="40" w:after="0"/>
      </w:pPr>
      <w:r>
        <w:rPr>
          <w:i/>
          <w:color w:val="00D4FF"/>
          <w:sz w:val="18"/>
        </w:rPr>
        <w:t>DBMigrateAIPro v1.1  ·  Merkle Validation Edition</w:t>
      </w:r>
    </w:p>
    <w:p>
      <w:r>
        <w:br w:type="page"/>
      </w:r>
    </w:p>
    <w:p>
      <w:pPr>
        <w:jc w:val="center"/>
        <w:spacing w:before="0" w:after="240"/>
      </w:pPr>
      <w:r>
        <w:rPr>
          <w:b/>
          <w:color w:val="0A182E"/>
          <w:sz w:val="44"/>
        </w:rPr>
        <w:t>Table of Contents</w:t>
      </w:r>
    </w:p>
    <w:tbl>
      <w:tblPr>
        <w:tblW w:type="auto" w:w="0"/>
        <w:jc w:val="center"/>
        <w:tblLook w:firstColumn="1" w:firstRow="1" w:lastColumn="0" w:lastRow="0" w:noHBand="0" w:noVBand="1" w:val="04A0"/>
      </w:tblPr>
      <w:tblGrid>
        <w:gridCol w:w="3024"/>
        <w:gridCol w:w="3024"/>
        <w:gridCol w:w="3024"/>
      </w:tblGrid>
      <w:tr>
        <w:tc>
          <w:tcPr>
            <w:tcW w:type="dxa" w:w="3024"/>
            <w:shd w:val="clear" w:color="auto" w:fill="F0F7FF"/>
          </w:tcPr>
          <w:p>
            <w:pPr>
              <w:spacing w:before="20" w:after="20"/>
            </w:pPr>
            <w:r>
              <w:rPr>
                <w:b/>
                <w:color w:val="0A182E"/>
                <w:sz w:val="19"/>
              </w:rPr>
              <w:t>Preface</w:t>
            </w:r>
          </w:p>
        </w:tc>
        <w:tc>
          <w:tcPr>
            <w:tcW w:type="dxa" w:w="3024"/>
            <w:shd w:val="clear" w:color="auto" w:fill="F0F7FF"/>
          </w:tcPr>
          <w:p>
            <w:pPr>
              <w:spacing w:before="20" w:after="20"/>
            </w:pPr>
            <w:r>
              <w:rPr>
                <w:color w:val="1A2438"/>
                <w:sz w:val="19"/>
              </w:rPr>
              <w:t>Why This Guide Exists</w:t>
            </w:r>
          </w:p>
        </w:tc>
        <w:tc>
          <w:tcPr>
            <w:tcW w:type="dxa" w:w="3024"/>
            <w:shd w:val="clear" w:color="auto" w:fill="F0F7FF"/>
          </w:tcPr>
          <w:p>
            <w:pPr>
              <w:jc w:val="right"/>
              <w:spacing w:before="20" w:after="20"/>
            </w:pPr>
            <w:r>
              <w:rPr>
                <w:color w:val="5A6A84"/>
                <w:sz w:val="19"/>
              </w:rPr>
              <w:t>5</w:t>
            </w:r>
          </w:p>
        </w:tc>
      </w:tr>
      <w:tr>
        <w:tc>
          <w:tcPr>
            <w:tcW w:type="dxa" w:w="3024"/>
            <w:shd w:val="clear" w:color="auto" w:fill="F0F7FF"/>
          </w:tcPr>
          <w:p>
            <w:pPr>
              <w:spacing w:before="20" w:after="20"/>
            </w:pPr>
            <w:r>
              <w:rPr>
                <w:b/>
                <w:color w:val="0074D9"/>
                <w:sz w:val="19"/>
              </w:rPr>
              <w:t>Chapter 1</w:t>
            </w:r>
          </w:p>
        </w:tc>
        <w:tc>
          <w:tcPr>
            <w:tcW w:type="dxa" w:w="3024"/>
            <w:shd w:val="clear" w:color="auto" w:fill="F0F7FF"/>
          </w:tcPr>
          <w:p>
            <w:pPr>
              <w:spacing w:before="20" w:after="20"/>
            </w:pPr>
            <w:r>
              <w:rPr>
                <w:color w:val="1A2438"/>
                <w:sz w:val="19"/>
              </w:rPr>
              <w:t>DBMigrateAIPro — Platform Overview</w:t>
            </w:r>
          </w:p>
        </w:tc>
        <w:tc>
          <w:tcPr>
            <w:tcW w:type="dxa" w:w="3024"/>
            <w:shd w:val="clear" w:color="auto" w:fill="F0F7FF"/>
          </w:tcPr>
          <w:p>
            <w:pPr>
              <w:jc w:val="right"/>
              <w:spacing w:before="20" w:after="20"/>
            </w:pPr>
            <w:r>
              <w:rPr>
                <w:color w:val="5A6A84"/>
                <w:sz w:val="19"/>
              </w:rPr>
              <w:t>6</w:t>
            </w:r>
          </w:p>
        </w:tc>
      </w:tr>
      <w:tr>
        <w:tc>
          <w:tcPr>
            <w:tcW w:type="dxa" w:w="3024"/>
            <w:shd w:val="clear" w:color="auto" w:fill="F0F7FF"/>
          </w:tcPr>
          <w:p>
            <w:pPr>
              <w:spacing w:before="20" w:after="20"/>
            </w:pPr>
            <w:r>
              <w:rPr>
                <w:b/>
                <w:color w:val="0074D9"/>
                <w:sz w:val="19"/>
              </w:rPr>
              <w:t>Chapter 2</w:t>
            </w:r>
          </w:p>
        </w:tc>
        <w:tc>
          <w:tcPr>
            <w:tcW w:type="dxa" w:w="3024"/>
            <w:shd w:val="clear" w:color="auto" w:fill="F0F7FF"/>
          </w:tcPr>
          <w:p>
            <w:pPr>
              <w:spacing w:before="20" w:after="20"/>
            </w:pPr>
            <w:r>
              <w:rPr>
                <w:color w:val="1A2438"/>
                <w:sz w:val="19"/>
              </w:rPr>
              <w:t>Migration Planning &amp; Assessment</w:t>
            </w:r>
          </w:p>
        </w:tc>
        <w:tc>
          <w:tcPr>
            <w:tcW w:type="dxa" w:w="3024"/>
            <w:shd w:val="clear" w:color="auto" w:fill="F0F7FF"/>
          </w:tcPr>
          <w:p>
            <w:pPr>
              <w:jc w:val="right"/>
              <w:spacing w:before="20" w:after="20"/>
            </w:pPr>
            <w:r>
              <w:rPr>
                <w:color w:val="5A6A84"/>
                <w:sz w:val="19"/>
              </w:rPr>
              <w:t>8</w:t>
            </w:r>
          </w:p>
        </w:tc>
      </w:tr>
      <w:tr>
        <w:tc>
          <w:tcPr>
            <w:tcW w:type="dxa" w:w="3024"/>
            <w:shd w:val="clear" w:color="auto" w:fill="F0F7FF"/>
          </w:tcPr>
          <w:p>
            <w:pPr>
              <w:spacing w:before="20" w:after="20"/>
            </w:pPr>
            <w:r>
              <w:rPr>
                <w:b/>
                <w:color w:val="0074D9"/>
                <w:sz w:val="19"/>
              </w:rPr>
              <w:t>Chapter 3</w:t>
            </w:r>
          </w:p>
        </w:tc>
        <w:tc>
          <w:tcPr>
            <w:tcW w:type="dxa" w:w="3024"/>
            <w:shd w:val="clear" w:color="auto" w:fill="F0F7FF"/>
          </w:tcPr>
          <w:p>
            <w:pPr>
              <w:spacing w:before="20" w:after="20"/>
            </w:pPr>
            <w:r>
              <w:rPr>
                <w:color w:val="1A2438"/>
                <w:sz w:val="19"/>
              </w:rPr>
              <w:t>Data Type Mapping — Zero Manual Work</w:t>
            </w:r>
          </w:p>
        </w:tc>
        <w:tc>
          <w:tcPr>
            <w:tcW w:type="dxa" w:w="3024"/>
            <w:shd w:val="clear" w:color="auto" w:fill="F0F7FF"/>
          </w:tcPr>
          <w:p>
            <w:pPr>
              <w:jc w:val="right"/>
              <w:spacing w:before="20" w:after="20"/>
            </w:pPr>
            <w:r>
              <w:rPr>
                <w:color w:val="5A6A84"/>
                <w:sz w:val="19"/>
              </w:rPr>
              <w:t>11</w:t>
            </w:r>
          </w:p>
        </w:tc>
      </w:tr>
      <w:tr>
        <w:tc>
          <w:tcPr>
            <w:tcW w:type="dxa" w:w="3024"/>
            <w:shd w:val="clear" w:color="auto" w:fill="F0F7FF"/>
          </w:tcPr>
          <w:p>
            <w:pPr>
              <w:spacing w:before="20" w:after="20"/>
            </w:pPr>
            <w:r>
              <w:rPr>
                <w:b/>
                <w:color w:val="0074D9"/>
                <w:sz w:val="19"/>
              </w:rPr>
              <w:t>Chapter 4</w:t>
            </w:r>
          </w:p>
        </w:tc>
        <w:tc>
          <w:tcPr>
            <w:tcW w:type="dxa" w:w="3024"/>
            <w:shd w:val="clear" w:color="auto" w:fill="F0F7FF"/>
          </w:tcPr>
          <w:p>
            <w:pPr>
              <w:spacing w:before="20" w:after="20"/>
            </w:pPr>
            <w:r>
              <w:rPr>
                <w:color w:val="1A2438"/>
                <w:sz w:val="19"/>
              </w:rPr>
              <w:t>Schema Migration — Constraints, Indexes, Partitions</w:t>
            </w:r>
          </w:p>
        </w:tc>
        <w:tc>
          <w:tcPr>
            <w:tcW w:type="dxa" w:w="3024"/>
            <w:shd w:val="clear" w:color="auto" w:fill="F0F7FF"/>
          </w:tcPr>
          <w:p>
            <w:pPr>
              <w:jc w:val="right"/>
              <w:spacing w:before="20" w:after="20"/>
            </w:pPr>
            <w:r>
              <w:rPr>
                <w:color w:val="5A6A84"/>
                <w:sz w:val="19"/>
              </w:rPr>
              <w:t>14</w:t>
            </w:r>
          </w:p>
        </w:tc>
      </w:tr>
      <w:tr>
        <w:tc>
          <w:tcPr>
            <w:tcW w:type="dxa" w:w="3024"/>
            <w:shd w:val="clear" w:color="auto" w:fill="F0F7FF"/>
          </w:tcPr>
          <w:p>
            <w:pPr>
              <w:spacing w:before="20" w:after="20"/>
            </w:pPr>
            <w:r>
              <w:rPr>
                <w:b/>
                <w:color w:val="0074D9"/>
                <w:sz w:val="19"/>
              </w:rPr>
              <w:t>Chapter 5</w:t>
            </w:r>
          </w:p>
        </w:tc>
        <w:tc>
          <w:tcPr>
            <w:tcW w:type="dxa" w:w="3024"/>
            <w:shd w:val="clear" w:color="auto" w:fill="F0F7FF"/>
          </w:tcPr>
          <w:p>
            <w:pPr>
              <w:spacing w:before="20" w:after="20"/>
            </w:pPr>
            <w:r>
              <w:rPr>
                <w:color w:val="1A2438"/>
                <w:sz w:val="19"/>
              </w:rPr>
              <w:t>PL/SQL to PL/pgSQL — AI-Assisted Conversion</w:t>
            </w:r>
          </w:p>
        </w:tc>
        <w:tc>
          <w:tcPr>
            <w:tcW w:type="dxa" w:w="3024"/>
            <w:shd w:val="clear" w:color="auto" w:fill="F0F7FF"/>
          </w:tcPr>
          <w:p>
            <w:pPr>
              <w:jc w:val="right"/>
              <w:spacing w:before="20" w:after="20"/>
            </w:pPr>
            <w:r>
              <w:rPr>
                <w:color w:val="5A6A84"/>
                <w:sz w:val="19"/>
              </w:rPr>
              <w:t>17</w:t>
            </w:r>
          </w:p>
        </w:tc>
      </w:tr>
      <w:tr>
        <w:tc>
          <w:tcPr>
            <w:tcW w:type="dxa" w:w="3024"/>
            <w:shd w:val="clear" w:color="auto" w:fill="F0F7FF"/>
          </w:tcPr>
          <w:p>
            <w:pPr>
              <w:spacing w:before="20" w:after="20"/>
            </w:pPr>
            <w:r>
              <w:rPr>
                <w:b/>
                <w:color w:val="0074D9"/>
                <w:sz w:val="19"/>
              </w:rPr>
              <w:t>Chapter 6</w:t>
            </w:r>
          </w:p>
        </w:tc>
        <w:tc>
          <w:tcPr>
            <w:tcW w:type="dxa" w:w="3024"/>
            <w:shd w:val="clear" w:color="auto" w:fill="F0F7FF"/>
          </w:tcPr>
          <w:p>
            <w:pPr>
              <w:spacing w:before="20" w:after="20"/>
            </w:pPr>
            <w:r>
              <w:rPr>
                <w:color w:val="1A2438"/>
                <w:sz w:val="19"/>
              </w:rPr>
              <w:t>Data Migration — Flash Direct Pipe</w:t>
            </w:r>
          </w:p>
        </w:tc>
        <w:tc>
          <w:tcPr>
            <w:tcW w:type="dxa" w:w="3024"/>
            <w:shd w:val="clear" w:color="auto" w:fill="F0F7FF"/>
          </w:tcPr>
          <w:p>
            <w:pPr>
              <w:jc w:val="right"/>
              <w:spacing w:before="20" w:after="20"/>
            </w:pPr>
            <w:r>
              <w:rPr>
                <w:color w:val="5A6A84"/>
                <w:sz w:val="19"/>
              </w:rPr>
              <w:t>21</w:t>
            </w:r>
          </w:p>
        </w:tc>
      </w:tr>
      <w:tr>
        <w:tc>
          <w:tcPr>
            <w:tcW w:type="dxa" w:w="3024"/>
            <w:shd w:val="clear" w:color="auto" w:fill="F0F7FF"/>
          </w:tcPr>
          <w:p>
            <w:pPr>
              <w:spacing w:before="20" w:after="20"/>
            </w:pPr>
            <w:r>
              <w:rPr>
                <w:b/>
                <w:color w:val="0074D9"/>
                <w:sz w:val="19"/>
              </w:rPr>
              <w:t>Chapter 7</w:t>
            </w:r>
          </w:p>
        </w:tc>
        <w:tc>
          <w:tcPr>
            <w:tcW w:type="dxa" w:w="3024"/>
            <w:shd w:val="clear" w:color="auto" w:fill="F0F7FF"/>
          </w:tcPr>
          <w:p>
            <w:pPr>
              <w:spacing w:before="20" w:after="20"/>
            </w:pPr>
            <w:r>
              <w:rPr>
                <w:color w:val="1A2438"/>
                <w:sz w:val="19"/>
              </w:rPr>
              <w:t>Change Data Capture — Zero-Downtime Migration</w:t>
            </w:r>
          </w:p>
        </w:tc>
        <w:tc>
          <w:tcPr>
            <w:tcW w:type="dxa" w:w="3024"/>
            <w:shd w:val="clear" w:color="auto" w:fill="F0F7FF"/>
          </w:tcPr>
          <w:p>
            <w:pPr>
              <w:jc w:val="right"/>
              <w:spacing w:before="20" w:after="20"/>
            </w:pPr>
            <w:r>
              <w:rPr>
                <w:color w:val="5A6A84"/>
                <w:sz w:val="19"/>
              </w:rPr>
              <w:t>24</w:t>
            </w:r>
          </w:p>
        </w:tc>
      </w:tr>
      <w:tr>
        <w:tc>
          <w:tcPr>
            <w:tcW w:type="dxa" w:w="3024"/>
            <w:shd w:val="clear" w:color="auto" w:fill="F0F7FF"/>
          </w:tcPr>
          <w:p>
            <w:pPr>
              <w:spacing w:before="20" w:after="20"/>
            </w:pPr>
            <w:r>
              <w:rPr>
                <w:b/>
                <w:color w:val="0074D9"/>
                <w:sz w:val="19"/>
              </w:rPr>
              <w:t>Chapter 8</w:t>
            </w:r>
          </w:p>
        </w:tc>
        <w:tc>
          <w:tcPr>
            <w:tcW w:type="dxa" w:w="3024"/>
            <w:shd w:val="clear" w:color="auto" w:fill="F0F7FF"/>
          </w:tcPr>
          <w:p>
            <w:pPr>
              <w:spacing w:before="20" w:after="20"/>
            </w:pPr>
            <w:r>
              <w:rPr>
                <w:color w:val="1A2438"/>
                <w:sz w:val="19"/>
              </w:rPr>
              <w:t>Cryptographic Validation — Merkle-Tree Proof</w:t>
            </w:r>
          </w:p>
        </w:tc>
        <w:tc>
          <w:tcPr>
            <w:tcW w:type="dxa" w:w="3024"/>
            <w:shd w:val="clear" w:color="auto" w:fill="F0F7FF"/>
          </w:tcPr>
          <w:p>
            <w:pPr>
              <w:jc w:val="right"/>
              <w:spacing w:before="20" w:after="20"/>
            </w:pPr>
            <w:r>
              <w:rPr>
                <w:color w:val="5A6A84"/>
                <w:sz w:val="19"/>
              </w:rPr>
              <w:t>26</w:t>
            </w:r>
          </w:p>
        </w:tc>
      </w:tr>
      <w:tr>
        <w:tc>
          <w:tcPr>
            <w:tcW w:type="dxa" w:w="3024"/>
            <w:shd w:val="clear" w:color="auto" w:fill="F0F7FF"/>
          </w:tcPr>
          <w:p>
            <w:pPr>
              <w:spacing w:before="20" w:after="20"/>
            </w:pPr>
            <w:r>
              <w:rPr>
                <w:b/>
                <w:color w:val="0074D9"/>
                <w:sz w:val="19"/>
              </w:rPr>
              <w:t>Chapter 9</w:t>
            </w:r>
          </w:p>
        </w:tc>
        <w:tc>
          <w:tcPr>
            <w:tcW w:type="dxa" w:w="3024"/>
            <w:shd w:val="clear" w:color="auto" w:fill="F0F7FF"/>
          </w:tcPr>
          <w:p>
            <w:pPr>
              <w:spacing w:before="20" w:after="20"/>
            </w:pPr>
            <w:r>
              <w:rPr>
                <w:color w:val="1A2438"/>
                <w:sz w:val="19"/>
              </w:rPr>
              <w:t>The Gap Report &amp; Migration Advisor</w:t>
            </w:r>
          </w:p>
        </w:tc>
        <w:tc>
          <w:tcPr>
            <w:tcW w:type="dxa" w:w="3024"/>
            <w:shd w:val="clear" w:color="auto" w:fill="F0F7FF"/>
          </w:tcPr>
          <w:p>
            <w:pPr>
              <w:jc w:val="right"/>
              <w:spacing w:before="20" w:after="20"/>
            </w:pPr>
            <w:r>
              <w:rPr>
                <w:color w:val="5A6A84"/>
                <w:sz w:val="19"/>
              </w:rPr>
              <w:t>29</w:t>
            </w:r>
          </w:p>
        </w:tc>
      </w:tr>
      <w:tr>
        <w:tc>
          <w:tcPr>
            <w:tcW w:type="dxa" w:w="3024"/>
            <w:shd w:val="clear" w:color="auto" w:fill="F0F7FF"/>
          </w:tcPr>
          <w:p>
            <w:pPr>
              <w:spacing w:before="20" w:after="20"/>
            </w:pPr>
            <w:r>
              <w:rPr>
                <w:b/>
                <w:color w:val="0074D9"/>
                <w:sz w:val="19"/>
              </w:rPr>
              <w:t>Chapter 10</w:t>
            </w:r>
          </w:p>
        </w:tc>
        <w:tc>
          <w:tcPr>
            <w:tcW w:type="dxa" w:w="3024"/>
            <w:shd w:val="clear" w:color="auto" w:fill="F0F7FF"/>
          </w:tcPr>
          <w:p>
            <w:pPr>
              <w:spacing w:before="20" w:after="20"/>
            </w:pPr>
            <w:r>
              <w:rPr>
                <w:color w:val="1A2438"/>
                <w:sz w:val="19"/>
              </w:rPr>
              <w:t>Migration Scenarios — Every Source/Target Combination</w:t>
            </w:r>
          </w:p>
        </w:tc>
        <w:tc>
          <w:tcPr>
            <w:tcW w:type="dxa" w:w="3024"/>
            <w:shd w:val="clear" w:color="auto" w:fill="F0F7FF"/>
          </w:tcPr>
          <w:p>
            <w:pPr>
              <w:jc w:val="right"/>
              <w:spacing w:before="20" w:after="20"/>
            </w:pPr>
            <w:r>
              <w:rPr>
                <w:color w:val="5A6A84"/>
                <w:sz w:val="19"/>
              </w:rPr>
              <w:t>31</w:t>
            </w:r>
          </w:p>
        </w:tc>
      </w:tr>
      <w:tr>
        <w:tc>
          <w:tcPr>
            <w:tcW w:type="dxa" w:w="3024"/>
            <w:shd w:val="clear" w:color="auto" w:fill="F0F7FF"/>
          </w:tcPr>
          <w:p>
            <w:pPr>
              <w:spacing w:before="20" w:after="20"/>
            </w:pPr>
            <w:r>
              <w:rPr>
                <w:b/>
                <w:color w:val="0074D9"/>
                <w:sz w:val="19"/>
              </w:rPr>
              <w:t>Chapter 11</w:t>
            </w:r>
          </w:p>
        </w:tc>
        <w:tc>
          <w:tcPr>
            <w:tcW w:type="dxa" w:w="3024"/>
            <w:shd w:val="clear" w:color="auto" w:fill="F0F7FF"/>
          </w:tcPr>
          <w:p>
            <w:pPr>
              <w:spacing w:before="20" w:after="20"/>
            </w:pPr>
            <w:r>
              <w:rPr>
                <w:color w:val="1A2438"/>
                <w:sz w:val="19"/>
              </w:rPr>
              <w:t>DBMigrateAIPro vs The Competition</w:t>
            </w:r>
          </w:p>
        </w:tc>
        <w:tc>
          <w:tcPr>
            <w:tcW w:type="dxa" w:w="3024"/>
            <w:shd w:val="clear" w:color="auto" w:fill="F0F7FF"/>
          </w:tcPr>
          <w:p>
            <w:pPr>
              <w:jc w:val="right"/>
              <w:spacing w:before="20" w:after="20"/>
            </w:pPr>
            <w:r>
              <w:rPr>
                <w:color w:val="5A6A84"/>
                <w:sz w:val="19"/>
              </w:rPr>
              <w:t>34</w:t>
            </w:r>
          </w:p>
        </w:tc>
      </w:tr>
      <w:tr>
        <w:tc>
          <w:tcPr>
            <w:tcW w:type="dxa" w:w="3024"/>
            <w:shd w:val="clear" w:color="auto" w:fill="F0F7FF"/>
          </w:tcPr>
          <w:p>
            <w:pPr>
              <w:spacing w:before="20" w:after="20"/>
            </w:pPr>
            <w:r>
              <w:rPr>
                <w:b/>
                <w:color w:val="0074D9"/>
                <w:sz w:val="19"/>
              </w:rPr>
              <w:t>Chapter 12</w:t>
            </w:r>
          </w:p>
        </w:tc>
        <w:tc>
          <w:tcPr>
            <w:tcW w:type="dxa" w:w="3024"/>
            <w:shd w:val="clear" w:color="auto" w:fill="F0F7FF"/>
          </w:tcPr>
          <w:p>
            <w:pPr>
              <w:spacing w:before="20" w:after="20"/>
            </w:pPr>
            <w:r>
              <w:rPr>
                <w:color w:val="1A2438"/>
                <w:sz w:val="19"/>
              </w:rPr>
              <w:t>The 10 Things Only DBMigrateAIPro Can Do</w:t>
            </w:r>
          </w:p>
        </w:tc>
        <w:tc>
          <w:tcPr>
            <w:tcW w:type="dxa" w:w="3024"/>
            <w:shd w:val="clear" w:color="auto" w:fill="F0F7FF"/>
          </w:tcPr>
          <w:p>
            <w:pPr>
              <w:jc w:val="right"/>
              <w:spacing w:before="20" w:after="20"/>
            </w:pPr>
            <w:r>
              <w:rPr>
                <w:color w:val="5A6A84"/>
                <w:sz w:val="19"/>
              </w:rPr>
              <w:t>38</w:t>
            </w:r>
          </w:p>
        </w:tc>
      </w:tr>
      <w:tr>
        <w:tc>
          <w:tcPr>
            <w:tcW w:type="dxa" w:w="3024"/>
            <w:shd w:val="clear" w:color="auto" w:fill="F0F7FF"/>
          </w:tcPr>
          <w:p>
            <w:pPr>
              <w:spacing w:before="20" w:after="20"/>
            </w:pPr>
            <w:r>
              <w:rPr>
                <w:b/>
                <w:color w:val="0074D9"/>
                <w:sz w:val="19"/>
              </w:rPr>
              <w:t>Chapter 13</w:t>
            </w:r>
          </w:p>
        </w:tc>
        <w:tc>
          <w:tcPr>
            <w:tcW w:type="dxa" w:w="3024"/>
            <w:shd w:val="clear" w:color="auto" w:fill="F0F7FF"/>
          </w:tcPr>
          <w:p>
            <w:pPr>
              <w:spacing w:before="20" w:after="20"/>
            </w:pPr>
            <w:r>
              <w:rPr>
                <w:color w:val="1A2438"/>
                <w:sz w:val="19"/>
              </w:rPr>
              <w:t>Licensing &amp; Getting Started</w:t>
            </w:r>
          </w:p>
        </w:tc>
        <w:tc>
          <w:tcPr>
            <w:tcW w:type="dxa" w:w="3024"/>
            <w:shd w:val="clear" w:color="auto" w:fill="F0F7FF"/>
          </w:tcPr>
          <w:p>
            <w:pPr>
              <w:jc w:val="right"/>
              <w:spacing w:before="20" w:after="20"/>
            </w:pPr>
            <w:r>
              <w:rPr>
                <w:color w:val="5A6A84"/>
                <w:sz w:val="19"/>
              </w:rPr>
              <w:t>41</w:t>
            </w:r>
          </w:p>
        </w:tc>
      </w:tr>
      <w:tr>
        <w:tc>
          <w:tcPr>
            <w:tcW w:type="dxa" w:w="3024"/>
            <w:shd w:val="clear" w:color="auto" w:fill="F5F5F5"/>
          </w:tcPr>
          <w:p>
            <w:pPr>
              <w:spacing w:before="20" w:after="20"/>
            </w:pPr>
            <w:r>
              <w:rPr>
                <w:b/>
                <w:color w:val="FFB547"/>
                <w:sz w:val="19"/>
              </w:rPr>
              <w:t>Appendix A</w:t>
            </w:r>
          </w:p>
        </w:tc>
        <w:tc>
          <w:tcPr>
            <w:tcW w:type="dxa" w:w="3024"/>
            <w:shd w:val="clear" w:color="auto" w:fill="F5F5F5"/>
          </w:tcPr>
          <w:p>
            <w:pPr>
              <w:spacing w:before="20" w:after="20"/>
            </w:pPr>
            <w:r>
              <w:rPr>
                <w:color w:val="1A2438"/>
                <w:sz w:val="19"/>
              </w:rPr>
              <w:t>Supported Database Types</w:t>
            </w:r>
          </w:p>
        </w:tc>
        <w:tc>
          <w:tcPr>
            <w:tcW w:type="dxa" w:w="3024"/>
            <w:shd w:val="clear" w:color="auto" w:fill="F5F5F5"/>
          </w:tcPr>
          <w:p>
            <w:pPr>
              <w:jc w:val="right"/>
              <w:spacing w:before="20" w:after="20"/>
            </w:pPr>
            <w:r>
              <w:rPr>
                <w:color w:val="5A6A84"/>
                <w:sz w:val="19"/>
              </w:rPr>
              <w:t>43</w:t>
            </w:r>
          </w:p>
        </w:tc>
      </w:tr>
      <w:tr>
        <w:tc>
          <w:tcPr>
            <w:tcW w:type="dxa" w:w="3024"/>
            <w:shd w:val="clear" w:color="auto" w:fill="F5F5F5"/>
          </w:tcPr>
          <w:p>
            <w:pPr>
              <w:spacing w:before="20" w:after="20"/>
            </w:pPr>
            <w:r>
              <w:rPr>
                <w:b/>
                <w:color w:val="FFB547"/>
                <w:sz w:val="19"/>
              </w:rPr>
              <w:t>Appendix B</w:t>
            </w:r>
          </w:p>
        </w:tc>
        <w:tc>
          <w:tcPr>
            <w:tcW w:type="dxa" w:w="3024"/>
            <w:shd w:val="clear" w:color="auto" w:fill="F5F5F5"/>
          </w:tcPr>
          <w:p>
            <w:pPr>
              <w:spacing w:before="20" w:after="20"/>
            </w:pPr>
            <w:r>
              <w:rPr>
                <w:color w:val="1A2438"/>
                <w:sz w:val="19"/>
              </w:rPr>
              <w:t>Oracle → PostgreSQL Function Quick Reference</w:t>
            </w:r>
          </w:p>
        </w:tc>
        <w:tc>
          <w:tcPr>
            <w:tcW w:type="dxa" w:w="3024"/>
            <w:shd w:val="clear" w:color="auto" w:fill="F5F5F5"/>
          </w:tcPr>
          <w:p>
            <w:pPr>
              <w:jc w:val="right"/>
              <w:spacing w:before="20" w:after="20"/>
            </w:pPr>
            <w:r>
              <w:rPr>
                <w:color w:val="5A6A84"/>
                <w:sz w:val="19"/>
              </w:rPr>
              <w:t>44</w:t>
            </w:r>
          </w:p>
        </w:tc>
      </w:tr>
      <w:tr>
        <w:tc>
          <w:tcPr>
            <w:tcW w:type="dxa" w:w="3024"/>
            <w:shd w:val="clear" w:color="auto" w:fill="F5F5F5"/>
          </w:tcPr>
          <w:p>
            <w:pPr>
              <w:spacing w:before="20" w:after="20"/>
            </w:pPr>
            <w:r>
              <w:rPr>
                <w:b/>
                <w:color w:val="FFB547"/>
                <w:sz w:val="19"/>
              </w:rPr>
              <w:t>Appendix C</w:t>
            </w:r>
          </w:p>
        </w:tc>
        <w:tc>
          <w:tcPr>
            <w:tcW w:type="dxa" w:w="3024"/>
            <w:shd w:val="clear" w:color="auto" w:fill="F5F5F5"/>
          </w:tcPr>
          <w:p>
            <w:pPr>
              <w:spacing w:before="20" w:after="20"/>
            </w:pPr>
            <w:r>
              <w:rPr>
                <w:color w:val="1A2438"/>
                <w:sz w:val="19"/>
              </w:rPr>
              <w:t>Data Type Mapping Master Table</w:t>
            </w:r>
          </w:p>
        </w:tc>
        <w:tc>
          <w:tcPr>
            <w:tcW w:type="dxa" w:w="3024"/>
            <w:shd w:val="clear" w:color="auto" w:fill="F5F5F5"/>
          </w:tcPr>
          <w:p>
            <w:pPr>
              <w:jc w:val="right"/>
              <w:spacing w:before="20" w:after="20"/>
            </w:pPr>
            <w:r>
              <w:rPr>
                <w:color w:val="5A6A84"/>
                <w:sz w:val="19"/>
              </w:rPr>
              <w:t>46</w:t>
            </w:r>
          </w:p>
        </w:tc>
      </w:tr>
    </w:tbl>
    <w:p/>
    <w:p>
      <w:r>
        <w:br w:type="page"/>
      </w:r>
    </w:p>
    <w:p>
      <w:pPr>
        <w:jc w:val="left"/>
        <w:spacing w:before="360" w:after="160"/>
        <w:pBdr>
          <w:bottom w:val="single" w:sz="6" w:space="4" w:color="0074D9"/>
        </w:pBdr>
      </w:pPr>
      <w:r>
        <w:rPr>
          <w:b/>
          <w:color w:val="0A182E"/>
          <w:sz w:val="36"/>
        </w:rPr>
        <w:t>Preface — Why This Guide Exists</w:t>
      </w:r>
    </w:p>
    <w:p>
      <w:pPr>
        <w:spacing w:before="0" w:after="100"/>
      </w:pPr>
      <w:r>
        <w:rPr>
          <w:color w:val="1A2438"/>
          <w:sz w:val="21"/>
        </w:rPr>
        <w:t>Oracle-to-PostgreSQL migration is one of the most underestimated projects in enterprise engineering. Teams that have done it will tell you: the schema is the easy part. The data type traps, the PL/SQL packages hiding a decade of business logic, the application queries depending on Oracle-specific syntax, the operational runbooks built around tools that don't exist in PostgreSQL — these are where projects slip.</w:t>
      </w:r>
    </w:p>
    <w:p>
      <w:pPr>
        <w:spacing w:before="0" w:after="100"/>
      </w:pPr>
      <w:r>
        <w:rPr>
          <w:color w:val="1A2438"/>
          <w:sz w:val="21"/>
        </w:rPr>
        <w:t>Existing tools help — ora2pg, AWS SCT, AWS DMS — but they hand you a list of problems without solving them. They produce SQL files and error reports. They don't tell you which conversions are safe to automate and which need human review. They don't validate that the data actually arrived correctly. They don't give you cryptographic proof.</w:t>
      </w:r>
    </w:p>
    <w:p>
      <w:pPr>
        <w:spacing w:before="0" w:after="100"/>
      </w:pPr>
      <w:r>
        <w:rPr>
          <w:color w:val="1A2438"/>
          <w:sz w:val="21"/>
        </w:rPr>
        <w:t>DBMigrateAIPro is different. It is the first migration platform that:</w:t>
      </w:r>
    </w:p>
    <w:p>
      <w:pPr>
        <w:pStyle w:val="ListBullet"/>
        <w:spacing w:before="0" w:after="60"/>
      </w:pPr>
      <w:r>
        <w:rPr>
          <w:b/>
          <w:color w:val="0074D9"/>
          <w:sz w:val="21"/>
        </w:rPr>
        <w:t xml:space="preserve">Automates 95% of schema and code conversion </w:t>
      </w:r>
      <w:r>
        <w:rPr>
          <w:color w:val="1A2438"/>
          <w:sz w:val="21"/>
        </w:rPr>
        <w:t>and tells you exactly what the remaining 5% requires.</w:t>
      </w:r>
    </w:p>
    <w:p>
      <w:pPr>
        <w:pStyle w:val="ListBullet"/>
        <w:spacing w:before="0" w:after="60"/>
      </w:pPr>
      <w:r>
        <w:rPr>
          <w:b/>
          <w:color w:val="0074D9"/>
          <w:sz w:val="21"/>
        </w:rPr>
        <w:t xml:space="preserve">Moves data 3–5× faster </w:t>
      </w:r>
      <w:r>
        <w:rPr>
          <w:color w:val="1A2438"/>
          <w:sz w:val="21"/>
        </w:rPr>
        <w:t>than the standard Arrow pipeline using Flash Direct Pipe.</w:t>
      </w:r>
    </w:p>
    <w:p>
      <w:pPr>
        <w:pStyle w:val="ListBullet"/>
        <w:spacing w:before="0" w:after="60"/>
      </w:pPr>
      <w:r>
        <w:rPr>
          <w:b/>
          <w:color w:val="0074D9"/>
          <w:sz w:val="21"/>
        </w:rPr>
        <w:t xml:space="preserve">Mathematically proves data integrity </w:t>
      </w:r>
      <w:r>
        <w:rPr>
          <w:color w:val="1A2438"/>
          <w:sz w:val="21"/>
        </w:rPr>
        <w:t>using per-partition Merkle-tree cryptographic fingerprints — a first in the industry.</w:t>
      </w:r>
    </w:p>
    <w:p>
      <w:pPr>
        <w:pStyle w:val="ListBullet"/>
        <w:spacing w:before="0" w:after="60"/>
      </w:pPr>
      <w:r>
        <w:rPr>
          <w:b/>
          <w:color w:val="0074D9"/>
          <w:sz w:val="21"/>
        </w:rPr>
        <w:t xml:space="preserve">Handles CDC for zero-downtime migration </w:t>
      </w:r>
      <w:r>
        <w:rPr>
          <w:color w:val="1A2438"/>
          <w:sz w:val="21"/>
        </w:rPr>
        <w:t>built into the same tool, not a separate product.</w:t>
      </w:r>
    </w:p>
    <w:p>
      <w:pPr>
        <w:pStyle w:val="ListBullet"/>
        <w:spacing w:before="0" w:after="60"/>
      </w:pPr>
      <w:r>
        <w:rPr>
          <w:b/>
          <w:color w:val="0074D9"/>
          <w:sz w:val="21"/>
        </w:rPr>
        <w:t xml:space="preserve">Gives you a complete audit trail </w:t>
      </w:r>
      <w:r>
        <w:rPr>
          <w:color w:val="1A2438"/>
          <w:sz w:val="21"/>
        </w:rPr>
        <w:t>— roots, reports, and HTML verification output stored per migration run.</w:t>
      </w:r>
    </w:p>
    <w:p>
      <w:pPr>
        <w:spacing w:before="0" w:after="100"/>
      </w:pPr>
      <w:r>
        <w:rPr>
          <w:color w:val="1A2438"/>
          <w:sz w:val="21"/>
        </w:rPr>
        <w:br/>
        <w:t>This guide is structured around the original Oracle-to-PostgreSQL practitioner's field manual — but with every section showing you exactly how DBMigrateAIPro handles that step automatically, what the tool's output looks like, and where human judgment is still needed. Read it before you start a migration. Keep it open while you run one.</w:t>
      </w:r>
    </w:p>
    <w:tbl>
      <w:tblPr>
        <w:tblW w:type="auto" w:w="0"/>
        <w:jc w:val="center"/>
        <w:tblLook w:firstColumn="1" w:firstRow="1" w:lastColumn="0" w:lastRow="0" w:noHBand="0" w:noVBand="1" w:val="04A0"/>
      </w:tblPr>
      <w:tblGrid>
        <w:gridCol w:w="9072"/>
      </w:tblGrid>
      <w:tr>
        <w:tc>
          <w:tcPr>
            <w:tcW w:type="dxa" w:w="9072"/>
            <w:shd w:val="clear" w:color="auto" w:fill="EFF6FF"/>
            <w:tcBorders>
              <w:top w:val="single" w:sz="4" w:space="0" w:color="0074D9"/>
              <w:left w:val="single" w:sz="4" w:space="0" w:color="0074D9"/>
              <w:bottom w:val="single" w:sz="4" w:space="0" w:color="0074D9"/>
              <w:right w:val="single" w:sz="4" w:space="0" w:color="0074D9"/>
            </w:tcBorders>
          </w:tcPr>
          <w:p>
            <w:pPr>
              <w:jc w:val="left"/>
              <w:spacing w:before="0" w:after="40"/>
            </w:pPr>
            <w:r>
              <w:rPr>
                <w:b/>
                <w:color w:val="0074D9"/>
                <w:sz w:val="21"/>
              </w:rPr>
              <w:t>▸  Who This Guide Is For</w:t>
            </w:r>
          </w:p>
          <w:p>
            <w:pPr>
              <w:spacing w:before="0" w:after="40"/>
            </w:pPr>
            <w:r>
              <w:rPr>
                <w:color w:val="1A2438"/>
                <w:sz w:val="20"/>
              </w:rPr>
              <w:t>Database architects evaluating migration tools for Oracle-to-PostgreSQL projects.</w:t>
            </w:r>
          </w:p>
          <w:p>
            <w:pPr>
              <w:spacing w:before="0" w:after="40"/>
            </w:pPr>
            <w:r>
              <w:rPr>
                <w:color w:val="1A2438"/>
                <w:sz w:val="20"/>
              </w:rPr>
              <w:t>DBAs and engineers running the migration — needs the technical depth of every step.</w:t>
            </w:r>
          </w:p>
          <w:p>
            <w:pPr>
              <w:spacing w:before="0" w:after="40"/>
            </w:pPr>
            <w:r>
              <w:rPr>
                <w:color w:val="1A2438"/>
                <w:sz w:val="20"/>
              </w:rPr>
              <w:t>Technical managers and CTOs — needs the comparison tables and the proof of uniqueness.</w:t>
            </w:r>
          </w:p>
          <w:p>
            <w:pPr>
              <w:spacing w:before="0" w:after="40"/>
            </w:pPr>
            <w:r>
              <w:rPr>
                <w:color w:val="1A2438"/>
                <w:sz w:val="20"/>
              </w:rPr>
              <w:t>Enterprises on Oracle EE paying $200K–$2M/year in licence fees looking for the exit.</w:t>
            </w:r>
          </w:p>
        </w:tc>
      </w:tr>
    </w:tbl>
    <w:p/>
    <w:p>
      <w:r>
        <w:br w:type="page"/>
      </w:r>
    </w:p>
    <w:p>
      <w:pPr>
        <w:jc w:val="left"/>
        <w:spacing w:before="360" w:after="160"/>
        <w:pBdr>
          <w:bottom w:val="single" w:sz="6" w:space="4" w:color="0074D9"/>
        </w:pBdr>
      </w:pPr>
      <w:r>
        <w:rPr>
          <w:b/>
          <w:color w:val="0A182E"/>
          <w:sz w:val="36"/>
        </w:rPr>
        <w:t>Chapter 1  ·  DBMigrateAIPro — Platform Overview</w:t>
      </w:r>
    </w:p>
    <w:p>
      <w:pPr>
        <w:spacing w:before="0" w:after="100"/>
      </w:pPr>
      <w:r>
        <w:rPr>
          <w:color w:val="1A2438"/>
          <w:sz w:val="21"/>
        </w:rPr>
        <w:t>DBMigrateAIPro is an enterprise-grade database migration platform built for Oracle-to-PostgreSQL and multi-database migrations. It runs as a native desktop application on Windows and macOS, with a self-contained GUI that covers every phase of a migration lifecycle in a single tool.</w:t>
      </w:r>
    </w:p>
    <w:p>
      <w:pPr>
        <w:spacing w:before="240" w:after="80"/>
      </w:pPr>
      <w:r>
        <w:rPr>
          <w:b/>
          <w:color w:val="0074D9"/>
          <w:sz w:val="26"/>
        </w:rPr>
        <w:t>1.1  Architecture at a Glance</w:t>
      </w:r>
    </w:p>
    <w:p>
      <w:pPr>
        <w:spacing w:before="0" w:after="100"/>
      </w:pPr>
      <w:r>
        <w:rPr>
          <w:color w:val="1A2438"/>
          <w:sz w:val="21"/>
        </w:rPr>
        <w:t>Most migration projects require 4–6 separate tools: an assessment tool (ora2pg), a schema converter (AWS SCT), a data mover (AWS DMS or custom scripts), a CDC connector (GoldenGate or Debezium), a validation tool (custom SQL), and a rollback tool (custom scripts). DBMigrateAIPro replaces all of them.</w:t>
      </w:r>
    </w:p>
    <w:tbl>
      <w:tblPr>
        <w:tblStyle w:val="TableGrid"/>
        <w:tblW w:type="auto" w:w="0"/>
        <w:jc w:val="center"/>
        <w:tblLook w:firstColumn="1" w:firstRow="1" w:lastColumn="0" w:lastRow="0" w:noHBand="0" w:noVBand="1" w:val="04A0"/>
      </w:tblPr>
      <w:tblGrid>
        <w:gridCol w:w="3024"/>
        <w:gridCol w:w="3024"/>
        <w:gridCol w:w="3024"/>
      </w:tblGrid>
      <w:tr>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Migration Phase</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Typical Toolchain (Before)</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DBMigrateAIPro (After)</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Assessment &amp; Inventory</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ora2pg assessment + manual spreadsheet</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Built-in object browser + AI advisor report</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Schema Conversion</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AWS SCT + manual SQL editing</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Automated DDL export with gap report</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Data Migration</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AWS DMS or ora2pg COPY</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Flash Direct Pipe (3–5× faster)</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PL/SQL Conversion</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AWS SCT + Ispirer + manual review</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AI-assisted conversion + advisor warnings</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Change Data Capture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GoldenGate or Debezium (separate setup)</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Built-in CDC replication panel</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Validation</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Custom COUNT(*) queries</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Merkle-tree cryptographic fingerprints (unique)</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Monitoring</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Separate APM / log files</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Live HUD digital overlay + migration panel</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Rollback</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Manual scripts</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One-click rollback engine with snapshots</w:t>
            </w:r>
          </w:p>
        </w:tc>
      </w:tr>
    </w:tbl>
    <w:p/>
    <w:p>
      <w:pPr>
        <w:spacing w:before="240" w:after="80"/>
      </w:pPr>
      <w:r>
        <w:rPr>
          <w:b/>
          <w:color w:val="0074D9"/>
          <w:sz w:val="26"/>
        </w:rPr>
        <w:t>1.2  The Seven Migration Steps</w:t>
      </w:r>
    </w:p>
    <w:p>
      <w:pPr>
        <w:spacing w:before="0" w:after="100"/>
      </w:pPr>
      <w:r>
        <w:rPr>
          <w:color w:val="1A2438"/>
          <w:sz w:val="21"/>
        </w:rPr>
        <w:t>DBMigrateAIPro organises every migration into seven sequential steps. These map directly to the migration phases described in the Oracle-to-PostgreSQL practitioner literature — but the tool automates what was previously manual at each step.</w:t>
      </w:r>
    </w:p>
    <w:p>
      <w:pPr>
        <w:spacing w:before="80" w:after="40"/>
      </w:pPr>
      <w:r>
        <w:rPr>
          <w:b/>
          <w:color w:val="00D4FF"/>
          <w:sz w:val="18"/>
        </w:rPr>
        <w:t xml:space="preserve">  Step 1 / 7  </w:t>
      </w:r>
      <w:r>
        <w:rPr>
          <w:b/>
          <w:color w:val="0A182E"/>
          <w:sz w:val="21"/>
        </w:rPr>
        <w:t xml:space="preserve">Schema Introspection  —  </w:t>
      </w:r>
      <w:r>
        <w:rPr>
          <w:color w:val="1A2438"/>
          <w:sz w:val="20"/>
        </w:rPr>
        <w:t>Connect to Oracle source. Discover all tables, views, indexes, sequences, constraints, PL/SQL objects, partitions, synonyms, and database links.</w:t>
      </w:r>
    </w:p>
    <w:p>
      <w:pPr>
        <w:spacing w:before="80" w:after="40"/>
      </w:pPr>
      <w:r>
        <w:rPr>
          <w:b/>
          <w:color w:val="00D4FF"/>
          <w:sz w:val="18"/>
        </w:rPr>
        <w:t xml:space="preserve">  Step 2 / 7  </w:t>
      </w:r>
      <w:r>
        <w:rPr>
          <w:b/>
          <w:color w:val="0A182E"/>
          <w:sz w:val="21"/>
        </w:rPr>
        <w:t xml:space="preserve">Pre-Data (DDL)  —  </w:t>
      </w:r>
      <w:r>
        <w:rPr>
          <w:color w:val="1A2438"/>
          <w:sz w:val="20"/>
        </w:rPr>
        <w:t>Generate and apply CREATE TABLE, CREATE INDEX, CREATE SEQUENCE and all constraint DDL to the PostgreSQL target. Apply TypeMapper rules to handle all Oracle→PG type conversions automatically.</w:t>
      </w:r>
    </w:p>
    <w:p>
      <w:pPr>
        <w:spacing w:before="80" w:after="40"/>
      </w:pPr>
      <w:r>
        <w:rPr>
          <w:b/>
          <w:color w:val="00D4FF"/>
          <w:sz w:val="18"/>
        </w:rPr>
        <w:t xml:space="preserve">  Step 3 / 7  </w:t>
      </w:r>
      <w:r>
        <w:rPr>
          <w:b/>
          <w:color w:val="0A182E"/>
          <w:sz w:val="21"/>
        </w:rPr>
        <w:t xml:space="preserve">Partition &amp; Plan  —  </w:t>
      </w:r>
      <w:r>
        <w:rPr>
          <w:color w:val="1A2438"/>
          <w:sz w:val="20"/>
        </w:rPr>
        <w:t>Split large tables into parallel extraction chunks using ORA_HASH (Oracle) or PK-range (PostgreSQL). Estimate rows, assign workers.</w:t>
      </w:r>
    </w:p>
    <w:p>
      <w:pPr>
        <w:spacing w:before="80" w:after="40"/>
      </w:pPr>
      <w:r>
        <w:rPr>
          <w:b/>
          <w:color w:val="00D4FF"/>
          <w:sz w:val="18"/>
        </w:rPr>
        <w:t xml:space="preserve">  Step 4 / 7  </w:t>
      </w:r>
      <w:r>
        <w:rPr>
          <w:b/>
          <w:color w:val="0A182E"/>
          <w:sz w:val="21"/>
        </w:rPr>
        <w:t xml:space="preserve">Flash Data Migration  —  </w:t>
      </w:r>
      <w:r>
        <w:rPr>
          <w:color w:val="1A2438"/>
          <w:sz w:val="20"/>
        </w:rPr>
        <w:t>Stream all rows Oracle → PG COPY in parallel. Dual inline Merkle hashing computes both source and target cryptographic fingerprints in the same loop — zero extra I/O.</w:t>
      </w:r>
    </w:p>
    <w:p>
      <w:pPr>
        <w:spacing w:before="80" w:after="40"/>
      </w:pPr>
      <w:r>
        <w:rPr>
          <w:b/>
          <w:color w:val="00D4FF"/>
          <w:sz w:val="18"/>
        </w:rPr>
        <w:t xml:space="preserve">  Step 5 / 7  </w:t>
      </w:r>
      <w:r>
        <w:rPr>
          <w:b/>
          <w:color w:val="0A182E"/>
          <w:sz w:val="21"/>
        </w:rPr>
        <w:t xml:space="preserve">Post-Data  —  </w:t>
      </w:r>
      <w:r>
        <w:rPr>
          <w:color w:val="1A2438"/>
          <w:sz w:val="20"/>
        </w:rPr>
        <w:t>Apply foreign key constraints, deferred constraints, and any post-load indexes after data is fully loaded.</w:t>
      </w:r>
    </w:p>
    <w:p>
      <w:pPr>
        <w:spacing w:before="80" w:after="40"/>
      </w:pPr>
      <w:r>
        <w:rPr>
          <w:b/>
          <w:color w:val="00D4FF"/>
          <w:sz w:val="18"/>
        </w:rPr>
        <w:t xml:space="preserve">  Step 5.5/7  </w:t>
      </w:r>
      <w:r>
        <w:rPr>
          <w:b/>
          <w:color w:val="0A182E"/>
          <w:sz w:val="21"/>
        </w:rPr>
        <w:t xml:space="preserve">Merkle Validation  —  </w:t>
      </w:r>
      <w:r>
        <w:rPr>
          <w:color w:val="1A2438"/>
          <w:sz w:val="20"/>
        </w:rPr>
        <w:t>Compare source and target partition roots. Generate compare_report.json and compare_report.html. Flag any mismatched partitions with drill-down CSV.</w:t>
      </w:r>
    </w:p>
    <w:p>
      <w:pPr>
        <w:spacing w:before="80" w:after="40"/>
      </w:pPr>
      <w:r>
        <w:rPr>
          <w:b/>
          <w:color w:val="00D4FF"/>
          <w:sz w:val="18"/>
        </w:rPr>
        <w:t xml:space="preserve">  Step 6 / 7  </w:t>
      </w:r>
      <w:r>
        <w:rPr>
          <w:b/>
          <w:color w:val="0A182E"/>
          <w:sz w:val="21"/>
        </w:rPr>
        <w:t xml:space="preserve">Row-Count Validation  —  </w:t>
      </w:r>
      <w:r>
        <w:rPr>
          <w:color w:val="1A2438"/>
          <w:sz w:val="20"/>
        </w:rPr>
        <w:t>COUNT(*) check per table for fast confirmation. Used as a secondary check alongside Merkle.</w:t>
      </w:r>
    </w:p>
    <w:p>
      <w:pPr>
        <w:spacing w:before="80" w:after="40"/>
      </w:pPr>
      <w:r>
        <w:rPr>
          <w:b/>
          <w:color w:val="00D4FF"/>
          <w:sz w:val="18"/>
        </w:rPr>
        <w:t xml:space="preserve">  Step 7 / 7  </w:t>
      </w:r>
      <w:r>
        <w:rPr>
          <w:b/>
          <w:color w:val="0A182E"/>
          <w:sz w:val="21"/>
        </w:rPr>
        <w:t xml:space="preserve">Code Objects  —  </w:t>
      </w:r>
      <w:r>
        <w:rPr>
          <w:color w:val="1A2438"/>
          <w:sz w:val="20"/>
        </w:rPr>
        <w:t>Transpile Oracle stored procedures, functions, triggers, and packages to PL/pgSQL. Flag untranslatable constructs in the Gap Report.</w:t>
      </w:r>
    </w:p>
    <w:p/>
    <w:p>
      <w:pPr>
        <w:spacing w:before="240" w:after="80"/>
      </w:pPr>
      <w:r>
        <w:rPr>
          <w:b/>
          <w:color w:val="0074D9"/>
          <w:sz w:val="26"/>
        </w:rPr>
        <w:t>1.3  License Tiers</w:t>
      </w:r>
    </w:p>
    <w:tbl>
      <w:tblPr>
        <w:tblStyle w:val="TableGrid"/>
        <w:tblW w:type="auto" w:w="0"/>
        <w:jc w:val="center"/>
        <w:tblLook w:firstColumn="1" w:firstRow="1" w:lastColumn="0" w:lastRow="0" w:noHBand="0" w:noVBand="1" w:val="04A0"/>
      </w:tblPr>
      <w:tblGrid>
        <w:gridCol w:w="2268"/>
        <w:gridCol w:w="2268"/>
        <w:gridCol w:w="2268"/>
        <w:gridCol w:w="2268"/>
      </w:tblGrid>
      <w:tr>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Feature</w:t>
            </w:r>
          </w:p>
        </w:tc>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Hobby (Free)</w:t>
            </w:r>
          </w:p>
        </w:tc>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Pro</w:t>
            </w:r>
          </w:p>
        </w:tc>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Enterprise</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Tables per migration</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Up to 10</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Unlimited</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Unlimited</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Flash Direct Pipe</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Data type auto-mapping</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Schema DDL export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Row-count validation</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DDL Bundle (client handoff)</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Merkle-tree validation</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CDC replication</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Migration Advisor full report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Limited</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Parallel workers</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4</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32</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128</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API / CLI access</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Priority support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Email</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Dedicated</w:t>
            </w:r>
          </w:p>
        </w:tc>
      </w:tr>
    </w:tbl>
    <w:p/>
    <w:p>
      <w:r>
        <w:br w:type="page"/>
      </w:r>
    </w:p>
    <w:p>
      <w:pPr>
        <w:jc w:val="left"/>
        <w:spacing w:before="360" w:after="160"/>
        <w:pBdr>
          <w:bottom w:val="single" w:sz="6" w:space="4" w:color="0074D9"/>
        </w:pBdr>
      </w:pPr>
      <w:r>
        <w:rPr>
          <w:b/>
          <w:color w:val="0A182E"/>
          <w:sz w:val="36"/>
        </w:rPr>
        <w:t>Chapter 2  ·  Migration Planning &amp; Assessment</w:t>
      </w:r>
    </w:p>
    <w:p>
      <w:pPr>
        <w:spacing w:before="0" w:after="100"/>
      </w:pPr>
      <w:r>
        <w:rPr>
          <w:color w:val="1A2438"/>
          <w:sz w:val="21"/>
        </w:rPr>
        <w:t>Every successful migration starts with an honest assessment. The two most common failure modes — schedule overrun and post-cutover incidents — both trace back to an incomplete picture of the migration surface area taken at the start.</w:t>
      </w:r>
    </w:p>
    <w:p>
      <w:pPr>
        <w:spacing w:before="240" w:after="80"/>
      </w:pPr>
      <w:r>
        <w:rPr>
          <w:b/>
          <w:color w:val="0074D9"/>
          <w:sz w:val="26"/>
        </w:rPr>
        <w:t>2.1  Built-in Assessment with the Object Browser</w:t>
      </w:r>
    </w:p>
    <w:p>
      <w:pPr>
        <w:spacing w:before="0" w:after="100"/>
      </w:pPr>
      <w:r>
        <w:rPr>
          <w:color w:val="1A2438"/>
          <w:sz w:val="21"/>
        </w:rPr>
        <w:t>DBMigrateAIPro's Object Browser connects to your Oracle source and produces a complete inventory of every database object without requiring any external tools. Unlike running ora2pg in assessment mode — which requires installing Perl, DBI, DBD::Oracle, and a config file — DBMigrateAIPro's assessment runs in the same connection as the migration itself.</w:t>
      </w:r>
    </w:p>
    <w:tbl>
      <w:tblPr>
        <w:tblW w:type="auto" w:w="0"/>
        <w:jc w:val="center"/>
        <w:tblLook w:firstColumn="1" w:firstRow="1" w:lastColumn="0" w:lastRow="0" w:noHBand="0" w:noVBand="1" w:val="04A0"/>
      </w:tblPr>
      <w:tblGrid>
        <w:gridCol w:w="9072"/>
      </w:tblGrid>
      <w:tr>
        <w:tc>
          <w:tcPr>
            <w:tcW w:type="dxa" w:w="9072"/>
            <w:shd w:val="clear" w:color="auto" w:fill="E8F4FD"/>
            <w:tcBorders>
              <w:top w:val="single" w:sz="4" w:space="0" w:color="0074D9"/>
              <w:left w:val="single" w:sz="4" w:space="0" w:color="0074D9"/>
              <w:bottom w:val="single" w:sz="4" w:space="0" w:color="0074D9"/>
              <w:right w:val="single" w:sz="4" w:space="0" w:color="0074D9"/>
            </w:tcBorders>
          </w:tcPr>
          <w:p>
            <w:pPr>
              <w:jc w:val="left"/>
              <w:spacing w:before="0" w:after="40"/>
            </w:pPr>
            <w:r>
              <w:rPr>
                <w:b/>
                <w:color w:val="0074D9"/>
                <w:sz w:val="21"/>
              </w:rPr>
              <w:t>▸  What the Object Browser discovers automatically</w:t>
            </w:r>
          </w:p>
          <w:p>
            <w:pPr>
              <w:spacing w:before="0" w:after="40"/>
            </w:pPr>
            <w:r>
              <w:rPr>
                <w:color w:val="1A2438"/>
                <w:sz w:val="20"/>
              </w:rPr>
              <w:t>Tables: column types, constraints, indexes, partitions, row counts, size estimate</w:t>
            </w:r>
          </w:p>
          <w:p>
            <w:pPr>
              <w:spacing w:before="0" w:after="40"/>
            </w:pPr>
            <w:r>
              <w:rPr>
                <w:color w:val="1A2438"/>
                <w:sz w:val="20"/>
              </w:rPr>
              <w:t>PL/SQL objects: stored procedures, functions, packages, triggers — with complexity score</w:t>
            </w:r>
          </w:p>
          <w:p>
            <w:pPr>
              <w:spacing w:before="0" w:after="40"/>
            </w:pPr>
            <w:r>
              <w:rPr>
                <w:color w:val="1A2438"/>
                <w:sz w:val="20"/>
              </w:rPr>
              <w:t>Views and materialised views: dependency graph, refresh modes</w:t>
            </w:r>
          </w:p>
          <w:p>
            <w:pPr>
              <w:spacing w:before="0" w:after="40"/>
            </w:pPr>
            <w:r>
              <w:rPr>
                <w:color w:val="1A2438"/>
                <w:sz w:val="20"/>
              </w:rPr>
              <w:t>Sequences: current values, cache settings</w:t>
            </w:r>
          </w:p>
          <w:p>
            <w:pPr>
              <w:spacing w:before="0" w:after="40"/>
            </w:pPr>
            <w:r>
              <w:rPr>
                <w:color w:val="1A2438"/>
                <w:sz w:val="20"/>
              </w:rPr>
              <w:t>Synonyms: public and private, pointing to which objects</w:t>
            </w:r>
          </w:p>
          <w:p>
            <w:pPr>
              <w:spacing w:before="0" w:after="40"/>
            </w:pPr>
            <w:r>
              <w:rPr>
                <w:color w:val="1A2438"/>
                <w:sz w:val="20"/>
              </w:rPr>
              <w:t>Database links: name, target, owner — flagged for FDW replacement</w:t>
            </w:r>
          </w:p>
          <w:p>
            <w:pPr>
              <w:spacing w:before="0" w:after="40"/>
            </w:pPr>
            <w:r>
              <w:rPr>
                <w:color w:val="1A2438"/>
                <w:sz w:val="20"/>
              </w:rPr>
              <w:t>Jobs / scheduled tasks: oracle_jobs / dbms_scheduler entries</w:t>
            </w:r>
          </w:p>
        </w:tc>
      </w:tr>
    </w:tbl>
    <w:p/>
    <w:p>
      <w:pPr>
        <w:spacing w:before="240" w:after="80"/>
      </w:pPr>
      <w:r>
        <w:rPr>
          <w:b/>
          <w:color w:val="0074D9"/>
          <w:sz w:val="26"/>
        </w:rPr>
        <w:t>2.2  Migration Advisor — AI-Powered Assessment Report</w:t>
      </w:r>
    </w:p>
    <w:p>
      <w:pPr>
        <w:spacing w:before="0" w:after="100"/>
      </w:pPr>
      <w:r>
        <w:rPr>
          <w:color w:val="1A2438"/>
          <w:sz w:val="21"/>
        </w:rPr>
        <w:t>After the Object Browser scan, the Migration Advisor analyses every discovered object and produces a structured Gap Report. This is not a list of raw errors — it is a ranked, actionable plan.</w:t>
      </w:r>
    </w:p>
    <w:p>
      <w:pPr>
        <w:spacing w:before="0" w:after="100"/>
      </w:pPr>
      <w:r>
        <w:rPr>
          <w:color w:val="1A2438"/>
          <w:sz w:val="21"/>
        </w:rPr>
        <w:t>The report is organised into three categories:</w:t>
      </w:r>
    </w:p>
    <w:p>
      <w:pPr>
        <w:pStyle w:val="ListBullet"/>
        <w:spacing w:before="0" w:after="60"/>
      </w:pPr>
      <w:r>
        <w:rPr>
          <w:b/>
          <w:color w:val="0074D9"/>
          <w:sz w:val="21"/>
        </w:rPr>
        <w:t xml:space="preserve">Auto-convertible (typically 90–95%):  </w:t>
      </w:r>
      <w:r>
        <w:rPr>
          <w:color w:val="1A2438"/>
          <w:sz w:val="21"/>
        </w:rPr>
        <w:t>Objects DBMigrateAIPro will handle without human review. Schema DDL, most function bodies, sequences, standard views.</w:t>
      </w:r>
    </w:p>
    <w:p>
      <w:pPr>
        <w:pStyle w:val="ListBullet"/>
        <w:spacing w:before="0" w:after="60"/>
      </w:pPr>
      <w:r>
        <w:rPr>
          <w:b/>
          <w:color w:val="0074D9"/>
          <w:sz w:val="21"/>
        </w:rPr>
        <w:t xml:space="preserve">Advisor warnings (typically 3–8%):  </w:t>
      </w:r>
      <w:r>
        <w:rPr>
          <w:color w:val="1A2438"/>
          <w:sz w:val="21"/>
        </w:rPr>
        <w:t>Objects that will convert but have known semantic differences to verify. DATE → TIMESTAMP promotion, unbounded NUMERIC columns, empty-string-NULL behaviour.</w:t>
      </w:r>
    </w:p>
    <w:p>
      <w:pPr>
        <w:pStyle w:val="ListBullet"/>
        <w:spacing w:before="0" w:after="60"/>
      </w:pPr>
      <w:r>
        <w:rPr>
          <w:b/>
          <w:color w:val="0074D9"/>
          <w:sz w:val="21"/>
        </w:rPr>
        <w:t xml:space="preserve">Manual required (typically 1–5%):  </w:t>
      </w:r>
      <w:r>
        <w:rPr>
          <w:color w:val="1A2438"/>
          <w:sz w:val="21"/>
        </w:rPr>
        <w:t>Objects requiring a human decision. Autonomous transactions (PRAGMA AUTONOMOUS_TRANSACTION), BULK COLLECT/FORALL patterns, Oracle package-level state, database links.</w:t>
      </w:r>
    </w:p>
    <w:p>
      <w:pPr>
        <w:spacing w:before="0" w:after="100"/>
      </w:pPr>
      <w:r>
        <w:rPr>
          <w:color w:val="1A2438"/>
          <w:sz w:val="21"/>
        </w:rPr>
        <w:br/>
        <w:t>For each manual-required item the advisor shows: the object name, the specific construct that requires human attention, the Oracle behaviour, the PostgreSQL equivalent or workaround, and an estimated effort in hours.</w:t>
      </w:r>
    </w:p>
    <w:p>
      <w:pPr>
        <w:spacing w:before="240" w:after="80"/>
      </w:pPr>
      <w:r>
        <w:rPr>
          <w:b/>
          <w:color w:val="0074D9"/>
          <w:sz w:val="26"/>
        </w:rPr>
        <w:t>2.3  Migration Size Classification</w:t>
      </w:r>
    </w:p>
    <w:p>
      <w:pPr>
        <w:spacing w:before="0" w:after="100"/>
      </w:pPr>
      <w:r>
        <w:rPr>
          <w:color w:val="1A2438"/>
          <w:sz w:val="21"/>
        </w:rPr>
        <w:t>DBMigrateAIPro classifies your migration into one of three tiers based on the assessment data, with tool recommendations for each:</w:t>
      </w:r>
    </w:p>
    <w:tbl>
      <w:tblPr>
        <w:tblStyle w:val="TableGrid"/>
        <w:tblW w:type="auto" w:w="0"/>
        <w:jc w:val="center"/>
        <w:tblLook w:firstColumn="1" w:firstRow="1" w:lastColumn="0" w:lastRow="0" w:noHBand="0" w:noVBand="1" w:val="04A0"/>
      </w:tblPr>
      <w:tblGrid>
        <w:gridCol w:w="1814"/>
        <w:gridCol w:w="1814"/>
        <w:gridCol w:w="1814"/>
        <w:gridCol w:w="1814"/>
        <w:gridCol w:w="1814"/>
      </w:tblGrid>
      <w:tr>
        <w:tc>
          <w:tcPr>
            <w:tcW w:type="dxa" w:w="181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Size</w:t>
            </w:r>
          </w:p>
        </w:tc>
        <w:tc>
          <w:tcPr>
            <w:tcW w:type="dxa" w:w="181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Schema Scale</w:t>
            </w:r>
          </w:p>
        </w:tc>
        <w:tc>
          <w:tcPr>
            <w:tcW w:type="dxa" w:w="181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PL/SQL Objects</w:t>
            </w:r>
          </w:p>
        </w:tc>
        <w:tc>
          <w:tcPr>
            <w:tcW w:type="dxa" w:w="181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Timeline</w:t>
            </w:r>
          </w:p>
        </w:tc>
        <w:tc>
          <w:tcPr>
            <w:tcW w:type="dxa" w:w="181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DBMigrateAIPro Approach</w:t>
            </w:r>
          </w:p>
        </w:tc>
      </w:tr>
      <w:tr>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Small</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1 schema, &lt;1 TB, &lt;100 PL/SQL</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&lt;100</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4–12 weeks</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Single-run migration, full automation, weekend cutover</w:t>
            </w:r>
          </w:p>
        </w:tc>
      </w:tr>
      <w:tr>
        <w:tc>
          <w:tcPr>
            <w:tcW w:type="dxa" w:w="181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Medium</w:t>
            </w:r>
          </w:p>
        </w:tc>
        <w:tc>
          <w:tcPr>
            <w:tcW w:type="dxa" w:w="181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5–20 schemas, 1–10 TB</w:t>
            </w:r>
          </w:p>
        </w:tc>
        <w:tc>
          <w:tcPr>
            <w:tcW w:type="dxa" w:w="181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100–2000</w:t>
            </w:r>
          </w:p>
        </w:tc>
        <w:tc>
          <w:tcPr>
            <w:tcW w:type="dxa" w:w="181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3–9 months</w:t>
            </w:r>
          </w:p>
        </w:tc>
        <w:tc>
          <w:tcPr>
            <w:tcW w:type="dxa" w:w="181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Phased per-schema, CDC for minimal downtime</w:t>
            </w:r>
          </w:p>
        </w:tc>
      </w:tr>
      <w:tr>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Large</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&gt;20 schemas, &gt;10 TB</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&gt;2000</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12–36 mo</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Multi-phase, parallel teams, CDC continuous sync</w:t>
            </w:r>
          </w:p>
        </w:tc>
      </w:tr>
    </w:tbl>
    <w:p/>
    <w:p>
      <w:pPr>
        <w:spacing w:before="240" w:after="80"/>
      </w:pPr>
      <w:r>
        <w:rPr>
          <w:b/>
          <w:color w:val="0074D9"/>
          <w:sz w:val="26"/>
        </w:rPr>
        <w:t>2.4  Choosing Target Topology</w:t>
      </w:r>
    </w:p>
    <w:p>
      <w:pPr>
        <w:spacing w:before="0" w:after="100"/>
      </w:pPr>
      <w:r>
        <w:rPr>
          <w:color w:val="1A2438"/>
          <w:sz w:val="21"/>
        </w:rPr>
        <w:t>DBMigrateAIPro connects to any PostgreSQL-compatible target. The tool's connection panel supports:</w:t>
      </w:r>
    </w:p>
    <w:p>
      <w:pPr>
        <w:pStyle w:val="ListBullet"/>
        <w:spacing w:before="0" w:after="60"/>
      </w:pPr>
      <w:r>
        <w:rPr>
          <w:color w:val="1A2438"/>
          <w:sz w:val="21"/>
        </w:rPr>
        <w:t>Self-managed PostgreSQL on VMs or bare metal (any version 12+)</w:t>
      </w:r>
    </w:p>
    <w:p>
      <w:pPr>
        <w:pStyle w:val="ListBullet"/>
        <w:spacing w:before="0" w:after="60"/>
      </w:pPr>
      <w:r>
        <w:rPr>
          <w:color w:val="1A2438"/>
          <w:sz w:val="21"/>
        </w:rPr>
        <w:t>AWS RDS for PostgreSQL and Amazon Aurora PostgreSQL</w:t>
      </w:r>
    </w:p>
    <w:p>
      <w:pPr>
        <w:pStyle w:val="ListBullet"/>
        <w:spacing w:before="0" w:after="60"/>
      </w:pPr>
      <w:r>
        <w:rPr>
          <w:color w:val="1A2438"/>
          <w:sz w:val="21"/>
        </w:rPr>
        <w:t>Azure Database for PostgreSQL — Flexible Server</w:t>
      </w:r>
    </w:p>
    <w:p>
      <w:pPr>
        <w:pStyle w:val="ListBullet"/>
        <w:spacing w:before="0" w:after="60"/>
      </w:pPr>
      <w:r>
        <w:rPr>
          <w:color w:val="1A2438"/>
          <w:sz w:val="21"/>
        </w:rPr>
        <w:t>GCP Cloud SQL for PostgreSQL and AlloyDB</w:t>
      </w:r>
    </w:p>
    <w:p>
      <w:pPr>
        <w:pStyle w:val="ListBullet"/>
        <w:spacing w:before="0" w:after="60"/>
      </w:pPr>
      <w:r>
        <w:rPr>
          <w:color w:val="1A2438"/>
          <w:sz w:val="21"/>
        </w:rPr>
        <w:t>Supabase, Neon, CockroachDB, and other PostgreSQL-compatible services</w:t>
      </w:r>
    </w:p>
    <w:p>
      <w:r>
        <w:br w:type="page"/>
      </w:r>
    </w:p>
    <w:p>
      <w:pPr>
        <w:jc w:val="left"/>
        <w:spacing w:before="360" w:after="160"/>
        <w:pBdr>
          <w:bottom w:val="single" w:sz="6" w:space="4" w:color="0074D9"/>
        </w:pBdr>
      </w:pPr>
      <w:r>
        <w:rPr>
          <w:b/>
          <w:color w:val="0A182E"/>
          <w:sz w:val="36"/>
        </w:rPr>
        <w:t>Chapter 3  ·  Data Type Mapping — Zero Manual Work</w:t>
      </w:r>
    </w:p>
    <w:p>
      <w:pPr>
        <w:spacing w:before="0" w:after="100"/>
      </w:pPr>
      <w:r>
        <w:rPr>
          <w:color w:val="1A2438"/>
          <w:sz w:val="21"/>
        </w:rPr>
        <w:t>Data type translation is the most failure-prone part of any Oracle-to-PostgreSQL migration. Get it wrong and the schema fails to load, data overflows, queries return wrong results, or application code throws type errors weeks after go-live. DBMigrateAIPro's TypeMapper handles every Oracle type automatically — including the four traps that cause silent production bugs.</w:t>
      </w:r>
    </w:p>
    <w:p>
      <w:pPr>
        <w:spacing w:before="240" w:after="80"/>
      </w:pPr>
      <w:r>
        <w:rPr>
          <w:b/>
          <w:color w:val="0074D9"/>
          <w:sz w:val="26"/>
        </w:rPr>
        <w:t>3.1  Complete Type Mapping Reference</w:t>
      </w:r>
    </w:p>
    <w:tbl>
      <w:tblPr>
        <w:tblStyle w:val="TableGrid"/>
        <w:tblW w:type="auto" w:w="0"/>
        <w:jc w:val="center"/>
        <w:tblLook w:firstColumn="1" w:firstRow="1" w:lastColumn="0" w:lastRow="0" w:noHBand="0" w:noVBand="1" w:val="04A0"/>
      </w:tblPr>
      <w:tblGrid>
        <w:gridCol w:w="2268"/>
        <w:gridCol w:w="2268"/>
        <w:gridCol w:w="2268"/>
        <w:gridCol w:w="2268"/>
      </w:tblGrid>
      <w:tr>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Oracle Type</w:t>
            </w:r>
          </w:p>
        </w:tc>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PostgreSQL Target</w:t>
            </w:r>
          </w:p>
        </w:tc>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DBMigrateAIPro Rule</w:t>
            </w:r>
          </w:p>
        </w:tc>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Trap?</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NUMBER (no precision)</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NUMERIC</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Auto-detected; advisor warns on unbounded NUMERIC performance</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FFB547"/>
                <w:sz w:val="19"/>
              </w:rPr>
              <w:t>⚠ Perf</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NUMBER(p) — integer</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BIGINT / INTEGER</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p≤9 → INTEGER; p≤18 → BIGINT; p&gt;18 → NUMERIC(p)</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NUMBER(p,s)</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NUMERIC(p,s)</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1:1 mapping when scale&gt;0</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FLOAT / BINARY_FLOAT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REAL</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Direct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BINARY_DOUBLE</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DOUBLE PRECISION</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Direct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VARCHAR2(n)</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VARCHAR(n)</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BYTE semantics → character-count adjusted automatically</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FFB547"/>
                <w:sz w:val="19"/>
              </w:rPr>
              <w:t>⚠ Encoding</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NVARCHAR2(n)</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VARCHAR(n)</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UTF-8 native in PG — no separate NVARCHAR needed</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CHAR(n)</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CHAR(n)</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Advisor warns: CHAR pads with spaces in PG, prefer VARCHAR</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FFB547"/>
                <w:sz w:val="19"/>
              </w:rPr>
              <w:t>⚠ Padding</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CLOB / NCLOB</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TEXT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Unbounded — direct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BLOB</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BYTEA</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Up to 1 GB; &gt;1 GB advisor recommends large objects</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RAW(n)</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BYTEA</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Direct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DATE</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TIMESTAMP(0)</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CRITICAL: Oracle DATE has time component — never mapped to PG DATE</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 Silent Bug</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TIMESTAMP</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TIMESTAMP</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Direct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TIMESTAMP WITH TIME ZONE</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TIMESTAMPTZ</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UTC-normalised internally — both sides agree</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INTERVAL YEAR TO MONTH</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INTERVAL</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PG INTERVAL is more general — direct mapping</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BOOLEAN (PL/SQL)</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BOOLEAN</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PG has true SQL BOOLEAN</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ROWID / UROWID</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ctid (flagged)</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Advisor flags: ctid is not stable — use PK instead</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FFB547"/>
                <w:sz w:val="19"/>
              </w:rPr>
              <w:t>⚠ Stability</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XMLTYPE</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XML</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XPath support; advisor recommends test coverage</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VARRAY / NESTED TABLE</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array[]</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INT[], TEXT[], composite arrays — type-matched automatically</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SYS.AnyData</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JSONB</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No direct equivalent — advisor proposes JSONB redesign</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r>
          </w:p>
        </w:tc>
      </w:tr>
    </w:tbl>
    <w:p/>
    <w:p>
      <w:pPr>
        <w:spacing w:before="240" w:after="80"/>
      </w:pPr>
      <w:r>
        <w:rPr>
          <w:b/>
          <w:color w:val="0074D9"/>
          <w:sz w:val="26"/>
        </w:rPr>
        <w:t>3.2  The Four Critical Type Traps — How DBMigrateAIPro Stops Silent Bugs</w:t>
      </w:r>
    </w:p>
    <w:tbl>
      <w:tblPr>
        <w:tblW w:type="auto" w:w="0"/>
        <w:jc w:val="center"/>
        <w:tblLook w:firstColumn="1" w:firstRow="1" w:lastColumn="0" w:lastRow="0" w:noHBand="0" w:noVBand="1" w:val="04A0"/>
      </w:tblPr>
      <w:tblGrid>
        <w:gridCol w:w="9072"/>
      </w:tblGrid>
      <w:tr>
        <w:tc>
          <w:tcPr>
            <w:tcW w:type="dxa" w:w="9072"/>
            <w:shd w:val="clear" w:color="auto" w:fill="FFF0F0"/>
            <w:tcBorders>
              <w:top w:val="single" w:sz="4" w:space="0" w:color="E05C6A"/>
              <w:left w:val="single" w:sz="4" w:space="0" w:color="E05C6A"/>
              <w:bottom w:val="single" w:sz="4" w:space="0" w:color="E05C6A"/>
              <w:right w:val="single" w:sz="4" w:space="0" w:color="E05C6A"/>
            </w:tcBorders>
          </w:tcPr>
          <w:p>
            <w:pPr>
              <w:jc w:val="left"/>
              <w:spacing w:before="0" w:after="40"/>
            </w:pPr>
            <w:r>
              <w:rPr>
                <w:b/>
                <w:color w:val="E05C6A"/>
                <w:sz w:val="21"/>
              </w:rPr>
              <w:t>🔴  Trap 1: Oracle DATE → PostgreSQL TIMESTAMP (not DATE)</w:t>
            </w:r>
          </w:p>
          <w:p>
            <w:pPr>
              <w:spacing w:before="0" w:after="40"/>
            </w:pPr>
            <w:r>
              <w:rPr>
                <w:color w:val="1A2438"/>
                <w:sz w:val="20"/>
              </w:rPr>
              <w:t>Oracle DATE stores year, month, day, hour, minute, and second.</w:t>
            </w:r>
          </w:p>
          <w:p>
            <w:pPr>
              <w:spacing w:before="0" w:after="40"/>
            </w:pPr>
            <w:r>
              <w:rPr>
                <w:color w:val="1A2438"/>
                <w:sz w:val="20"/>
              </w:rPr>
              <w:t>PostgreSQL DATE stores only year, month, day — the time component is silently dropped.</w:t>
            </w:r>
          </w:p>
          <w:p>
            <w:pPr>
              <w:spacing w:before="0" w:after="40"/>
            </w:pPr>
            <w:r>
              <w:rPr>
                <w:color w:val="1A2438"/>
                <w:sz w:val="20"/>
              </w:rPr>
              <w:t>DBMigrateAIPro always maps Oracle DATE → TIMESTAMP(0). No configuration needed.</w:t>
            </w:r>
          </w:p>
          <w:p>
            <w:pPr>
              <w:spacing w:before="0" w:after="40"/>
            </w:pPr>
            <w:r>
              <w:rPr>
                <w:color w:val="1A2438"/>
                <w:sz w:val="20"/>
              </w:rPr>
              <w:t>Tools that map DATE → DATE produce subtly wrong reports — discovered months after go-live.</w:t>
            </w:r>
          </w:p>
        </w:tc>
      </w:tr>
    </w:tbl>
    <w:p/>
    <w:tbl>
      <w:tblPr>
        <w:tblW w:type="auto" w:w="0"/>
        <w:jc w:val="center"/>
        <w:tblLook w:firstColumn="1" w:firstRow="1" w:lastColumn="0" w:lastRow="0" w:noHBand="0" w:noVBand="1" w:val="04A0"/>
      </w:tblPr>
      <w:tblGrid>
        <w:gridCol w:w="9072"/>
      </w:tblGrid>
      <w:tr>
        <w:tc>
          <w:tcPr>
            <w:tcW w:type="dxa" w:w="9072"/>
            <w:shd w:val="clear" w:color="auto" w:fill="FFF8E8"/>
            <w:tcBorders>
              <w:top w:val="single" w:sz="4" w:space="0" w:color="FFB547"/>
              <w:left w:val="single" w:sz="4" w:space="0" w:color="FFB547"/>
              <w:bottom w:val="single" w:sz="4" w:space="0" w:color="FFB547"/>
              <w:right w:val="single" w:sz="4" w:space="0" w:color="FFB547"/>
            </w:tcBorders>
          </w:tcPr>
          <w:p>
            <w:pPr>
              <w:jc w:val="left"/>
              <w:spacing w:before="0" w:after="40"/>
            </w:pPr>
            <w:r>
              <w:rPr>
                <w:b/>
                <w:color w:val="D08000"/>
                <w:sz w:val="21"/>
              </w:rPr>
              <w:t>⚠  Trap 2: Unbounded NUMBER → NUMERIC (performance)</w:t>
            </w:r>
          </w:p>
          <w:p>
            <w:pPr>
              <w:spacing w:before="0" w:after="40"/>
            </w:pPr>
            <w:r>
              <w:rPr>
                <w:color w:val="1A2438"/>
                <w:sz w:val="20"/>
              </w:rPr>
              <w:t>Oracle NUMBER (no precision) maps to PostgreSQL NUMERIC with no precision — correct but slow.</w:t>
            </w:r>
          </w:p>
          <w:p>
            <w:pPr>
              <w:spacing w:before="0" w:after="40"/>
            </w:pPr>
            <w:r>
              <w:rPr>
                <w:color w:val="1A2438"/>
                <w:sz w:val="20"/>
              </w:rPr>
              <w:t>Arithmetic on unbounded NUMERIC is 5–10× slower than on INTEGER or BIGINT.</w:t>
            </w:r>
          </w:p>
          <w:p>
            <w:pPr>
              <w:spacing w:before="0" w:after="40"/>
            </w:pPr>
            <w:r>
              <w:rPr>
                <w:color w:val="1A2438"/>
                <w:sz w:val="20"/>
              </w:rPr>
              <w:t>DBMigrateAIPro's advisor scans post-migration and flags every unbounded NUMERIC column.</w:t>
            </w:r>
          </w:p>
          <w:p>
            <w:pPr>
              <w:spacing w:before="0" w:after="40"/>
            </w:pPr>
            <w:r>
              <w:rPr>
                <w:color w:val="1A2438"/>
                <w:sz w:val="20"/>
              </w:rPr>
              <w:t>One-click ALTER TABLE commands are generated to tighten precision where the data permits.</w:t>
            </w:r>
          </w:p>
        </w:tc>
      </w:tr>
    </w:tbl>
    <w:p/>
    <w:tbl>
      <w:tblPr>
        <w:tblW w:type="auto" w:w="0"/>
        <w:jc w:val="center"/>
        <w:tblLook w:firstColumn="1" w:firstRow="1" w:lastColumn="0" w:lastRow="0" w:noHBand="0" w:noVBand="1" w:val="04A0"/>
      </w:tblPr>
      <w:tblGrid>
        <w:gridCol w:w="9072"/>
      </w:tblGrid>
      <w:tr>
        <w:tc>
          <w:tcPr>
            <w:tcW w:type="dxa" w:w="9072"/>
            <w:shd w:val="clear" w:color="auto" w:fill="FFF8E8"/>
            <w:tcBorders>
              <w:top w:val="single" w:sz="4" w:space="0" w:color="FFB547"/>
              <w:left w:val="single" w:sz="4" w:space="0" w:color="FFB547"/>
              <w:bottom w:val="single" w:sz="4" w:space="0" w:color="FFB547"/>
              <w:right w:val="single" w:sz="4" w:space="0" w:color="FFB547"/>
            </w:tcBorders>
          </w:tcPr>
          <w:p>
            <w:pPr>
              <w:jc w:val="left"/>
              <w:spacing w:before="0" w:after="40"/>
            </w:pPr>
            <w:r>
              <w:rPr>
                <w:b/>
                <w:color w:val="D08000"/>
                <w:sz w:val="21"/>
              </w:rPr>
              <w:t>⚠  Trap 3: Empty String = NULL (Oracle) ≠ Empty String (PostgreSQL)</w:t>
            </w:r>
          </w:p>
          <w:p>
            <w:pPr>
              <w:spacing w:before="0" w:after="40"/>
            </w:pPr>
            <w:r>
              <w:rPr>
                <w:color w:val="1A2438"/>
                <w:sz w:val="20"/>
              </w:rPr>
              <w:t>In Oracle: INSERT INTO t (name) VALUES ('') stores NULL. PostgreSQL stores an empty string.</w:t>
            </w:r>
          </w:p>
          <w:p>
            <w:pPr>
              <w:spacing w:before="0" w:after="40"/>
            </w:pPr>
            <w:r>
              <w:rPr>
                <w:color w:val="1A2438"/>
                <w:sz w:val="20"/>
              </w:rPr>
              <w:t>Application code relying on Oracle's behaviour will misbehave after migration.</w:t>
            </w:r>
          </w:p>
          <w:p>
            <w:pPr>
              <w:spacing w:before="0" w:after="40"/>
            </w:pPr>
            <w:r>
              <w:rPr>
                <w:color w:val="1A2438"/>
                <w:sz w:val="20"/>
              </w:rPr>
              <w:t>DBMigrateAIPro's advisor scans application SQL patterns and flags WHERE col = '' conditions.</w:t>
            </w:r>
          </w:p>
          <w:p>
            <w:pPr>
              <w:spacing w:before="0" w:after="40"/>
            </w:pPr>
            <w:r>
              <w:rPr>
                <w:color w:val="1A2438"/>
                <w:sz w:val="20"/>
              </w:rPr>
              <w:t>Reported in the Gap Report under 'Application SQL compatibility' section.</w:t>
            </w:r>
          </w:p>
        </w:tc>
      </w:tr>
    </w:tbl>
    <w:p/>
    <w:tbl>
      <w:tblPr>
        <w:tblW w:type="auto" w:w="0"/>
        <w:jc w:val="center"/>
        <w:tblLook w:firstColumn="1" w:firstRow="1" w:lastColumn="0" w:lastRow="0" w:noHBand="0" w:noVBand="1" w:val="04A0"/>
      </w:tblPr>
      <w:tblGrid>
        <w:gridCol w:w="9072"/>
      </w:tblGrid>
      <w:tr>
        <w:tc>
          <w:tcPr>
            <w:tcW w:type="dxa" w:w="9072"/>
            <w:shd w:val="clear" w:color="auto" w:fill="FFF8E8"/>
            <w:tcBorders>
              <w:top w:val="single" w:sz="4" w:space="0" w:color="FFB547"/>
              <w:left w:val="single" w:sz="4" w:space="0" w:color="FFB547"/>
              <w:bottom w:val="single" w:sz="4" w:space="0" w:color="FFB547"/>
              <w:right w:val="single" w:sz="4" w:space="0" w:color="FFB547"/>
            </w:tcBorders>
          </w:tcPr>
          <w:p>
            <w:pPr>
              <w:jc w:val="left"/>
              <w:spacing w:before="0" w:after="40"/>
            </w:pPr>
            <w:r>
              <w:rPr>
                <w:b/>
                <w:color w:val="D08000"/>
                <w:sz w:val="21"/>
              </w:rPr>
              <w:t>⚠  Trap 4: VARCHAR2 Byte Semantics vs PostgreSQL Character Semantics</w:t>
            </w:r>
          </w:p>
          <w:p>
            <w:pPr>
              <w:spacing w:before="0" w:after="40"/>
            </w:pPr>
            <w:r>
              <w:rPr>
                <w:color w:val="1A2438"/>
                <w:sz w:val="20"/>
              </w:rPr>
              <w:t>Oracle VARCHAR2(50 BYTE) in UTF-8: 12–50 characters. PostgreSQL VARCHAR(50): always 50 characters.</w:t>
            </w:r>
          </w:p>
          <w:p>
            <w:pPr>
              <w:spacing w:before="0" w:after="40"/>
            </w:pPr>
            <w:r>
              <w:rPr>
                <w:color w:val="1A2438"/>
                <w:sz w:val="20"/>
              </w:rPr>
              <w:t>DBMigrateAIPro detects BYTE vs CHAR semantics in the Oracle column definition.</w:t>
            </w:r>
          </w:p>
          <w:p>
            <w:pPr>
              <w:spacing w:before="0" w:after="40"/>
            </w:pPr>
            <w:r>
              <w:rPr>
                <w:color w:val="1A2438"/>
                <w:sz w:val="20"/>
              </w:rPr>
              <w:t>Automatically adjusts the PostgreSQL column width to the conservative (larger) interpretation.</w:t>
            </w:r>
          </w:p>
          <w:p>
            <w:pPr>
              <w:spacing w:before="0" w:after="40"/>
            </w:pPr>
            <w:r>
              <w:rPr>
                <w:color w:val="1A2438"/>
                <w:sz w:val="20"/>
              </w:rPr>
              <w:t>No truncation surprises at data load time.</w:t>
            </w:r>
          </w:p>
        </w:tc>
      </w:tr>
    </w:tbl>
    <w:p/>
    <w:p>
      <w:r>
        <w:br w:type="page"/>
      </w:r>
    </w:p>
    <w:p>
      <w:pPr>
        <w:jc w:val="left"/>
        <w:spacing w:before="360" w:after="160"/>
        <w:pBdr>
          <w:bottom w:val="single" w:sz="6" w:space="4" w:color="0074D9"/>
        </w:pBdr>
      </w:pPr>
      <w:r>
        <w:rPr>
          <w:b/>
          <w:color w:val="0A182E"/>
          <w:sz w:val="36"/>
        </w:rPr>
        <w:t>Chapter 4  ·  Schema Migration — Constraints, Indexes, Partitions</w:t>
      </w:r>
    </w:p>
    <w:p>
      <w:pPr>
        <w:spacing w:before="240" w:after="80"/>
      </w:pPr>
      <w:r>
        <w:rPr>
          <w:b/>
          <w:color w:val="0074D9"/>
          <w:sz w:val="26"/>
        </w:rPr>
        <w:t>4.1  Constraints</w:t>
      </w:r>
    </w:p>
    <w:p>
      <w:pPr>
        <w:spacing w:before="0" w:after="100"/>
      </w:pPr>
      <w:r>
        <w:rPr>
          <w:color w:val="1A2438"/>
          <w:sz w:val="21"/>
        </w:rPr>
        <w:t>All five Oracle constraint types — NOT NULL, PRIMARY KEY, FOREIGN KEY, UNIQUE, CHECK — are handled automatically by DBMigrateAIPro. The DDL generator applies PostgreSQL-compatible syntax and handles the nuances that cause manual migration failures:</w:t>
      </w:r>
    </w:p>
    <w:tbl>
      <w:tblPr>
        <w:tblStyle w:val="TableGrid"/>
        <w:tblW w:type="auto" w:w="0"/>
        <w:jc w:val="center"/>
        <w:tblLook w:firstColumn="1" w:firstRow="1" w:lastColumn="0" w:lastRow="0" w:noHBand="0" w:noVBand="1" w:val="04A0"/>
      </w:tblPr>
      <w:tblGrid>
        <w:gridCol w:w="3024"/>
        <w:gridCol w:w="3024"/>
        <w:gridCol w:w="3024"/>
      </w:tblGrid>
      <w:tr>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Oracle Feature</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PostgreSQL Equivalent</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DBMigrateAIPro Handling</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DEFERRABLE INITIALLY DEFERRED</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DEFERRABLE INITIALLY DEFERRED</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Direct — same semantics, auto-applied</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DISABLE CONSTRAINT</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DROP + NOT VALID pattern</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Generated as NOT VALID; validate post-load</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REGEXP_LIKE in CHECK</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col ~ 'pattern'</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Function name translated automatically</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ON DELETE CASCADE</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ON DELETE CASCADE</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Direct — same semantics</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ENABLE NOVALIDATE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ADD ... NOT VALID</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Translated — foreign keys validated after load</w:t>
            </w:r>
          </w:p>
        </w:tc>
      </w:tr>
    </w:tbl>
    <w:p/>
    <w:p>
      <w:pPr>
        <w:spacing w:before="240" w:after="80"/>
      </w:pPr>
      <w:r>
        <w:rPr>
          <w:b/>
          <w:color w:val="0074D9"/>
          <w:sz w:val="26"/>
        </w:rPr>
        <w:t>4.2  Index Translation</w:t>
      </w:r>
    </w:p>
    <w:p>
      <w:pPr>
        <w:spacing w:before="0" w:after="100"/>
      </w:pPr>
      <w:r>
        <w:rPr>
          <w:color w:val="1A2438"/>
          <w:sz w:val="21"/>
        </w:rPr>
        <w:t>DBMigrateAIPro translates Oracle indexes to PostgreSQL equivalents with intelligent pruning — not every Oracle index makes sense in PostgreSQL, and blind translation creates index bloat that degrades insert performance.</w:t>
      </w:r>
    </w:p>
    <w:tbl>
      <w:tblPr>
        <w:tblStyle w:val="TableGrid"/>
        <w:tblW w:type="auto" w:w="0"/>
        <w:jc w:val="center"/>
        <w:tblLook w:firstColumn="1" w:firstRow="1" w:lastColumn="0" w:lastRow="0" w:noHBand="0" w:noVBand="1" w:val="04A0"/>
      </w:tblPr>
      <w:tblGrid>
        <w:gridCol w:w="3024"/>
        <w:gridCol w:w="3024"/>
        <w:gridCol w:w="3024"/>
      </w:tblGrid>
      <w:tr>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Oracle Index Type</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DBMigrateAIPro Action</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Why</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B-tree (standard)</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Translate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Direct equivalent — most common case</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Function-based</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Translate as expression index</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CREATE INDEX ON t(LOWER(col)) — same syntax</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Bitmap</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Convert to B-tree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PG builds bitmaps at runtime from B-tree — no manual bitmap needed</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Reverse-key</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Drop (with notice)</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Avoids hot blocks; not needed in PG's architecture</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Bitmap join</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FFB547"/>
                <w:sz w:val="19"/>
              </w:rPr>
              <w:t>⚠ Flag for manual review</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Rewrite as B-tree or materialised view</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Domain (text/spatial)</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Translate to GIN/GiST</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PG's built-in full-text and geometric index types</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IOT (index-organised)</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FFB547"/>
                <w:sz w:val="19"/>
              </w:rPr>
              <w:t>⚠ Convert to CLUSTER advisory</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No IOT in PG; advisor recommends table CLUSTER</w:t>
            </w:r>
          </w:p>
        </w:tc>
      </w:tr>
    </w:tbl>
    <w:p/>
    <w:p>
      <w:pPr>
        <w:spacing w:before="0" w:after="100"/>
      </w:pPr>
      <w:r>
        <w:rPr>
          <w:color w:val="1A2438"/>
          <w:sz w:val="21"/>
        </w:rPr>
        <w:t>After migration, DBMigrateAIPro's post-migration advisor connects to the target and queries pg_stat_user_indexes after a load soak period to identify indexes with zero usage — and generates the DROP INDEX statements to remove them.</w:t>
      </w:r>
    </w:p>
    <w:p>
      <w:pPr>
        <w:spacing w:before="240" w:after="80"/>
      </w:pPr>
      <w:r>
        <w:rPr>
          <w:b/>
          <w:color w:val="0074D9"/>
          <w:sz w:val="26"/>
        </w:rPr>
        <w:t>4.3  Partitioning — Every Strategy Supported</w:t>
      </w:r>
    </w:p>
    <w:p>
      <w:pPr>
        <w:spacing w:before="0" w:after="100"/>
      </w:pPr>
      <w:r>
        <w:rPr>
          <w:color w:val="1A2438"/>
          <w:sz w:val="21"/>
        </w:rPr>
        <w:t>Partitioning is one of the most complex translation areas. DBMigrateAIPro handles all Oracle partitioning strategies, including the two that have no direct PostgreSQL equivalent:</w:t>
      </w:r>
    </w:p>
    <w:tbl>
      <w:tblPr>
        <w:tblStyle w:val="TableGrid"/>
        <w:tblW w:type="auto" w:w="0"/>
        <w:jc w:val="center"/>
        <w:tblLook w:firstColumn="1" w:firstRow="1" w:lastColumn="0" w:lastRow="0" w:noHBand="0" w:noVBand="1" w:val="04A0"/>
      </w:tblPr>
      <w:tblGrid>
        <w:gridCol w:w="3024"/>
        <w:gridCol w:w="3024"/>
        <w:gridCol w:w="3024"/>
      </w:tblGrid>
      <w:tr>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Oracle Partitioning</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PostgreSQL Approach</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DBMigrateAIPro Automation</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RANGE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RANGE — native PG declarative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Direct DDL generation</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LIST</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LIST — native PG declarative</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Direct DDL generation</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HASH</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HASH — native PG 11+</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Auto-generates N partition tables</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INTERVAL (auto)</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pg_partman extension</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Generates pg_partman setup script + cron job</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REFERENCE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Replicate partition column</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Generates child DDL with explicit partition key + advisory note</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COMPOSITE</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Nested declarative partitions</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Generates sub-partition DDL automatically</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VIRTUAL COLUMN key</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Generated column (PG 12+)</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Translates Oracle virtual column to STORED generated column</w:t>
            </w:r>
          </w:p>
        </w:tc>
      </w:tr>
    </w:tbl>
    <w:p/>
    <w:tbl>
      <w:tblPr>
        <w:tblW w:type="auto" w:w="0"/>
        <w:jc w:val="center"/>
        <w:tblLook w:firstColumn="1" w:firstRow="1" w:lastColumn="0" w:lastRow="0" w:noHBand="0" w:noVBand="1" w:val="04A0"/>
      </w:tblPr>
      <w:tblGrid>
        <w:gridCol w:w="9072"/>
      </w:tblGrid>
      <w:tr>
        <w:tc>
          <w:tcPr>
            <w:tcW w:type="dxa" w:w="9072"/>
            <w:shd w:val="clear" w:color="auto" w:fill="E8F9EE"/>
            <w:tcBorders>
              <w:top w:val="single" w:sz="4" w:space="0" w:color="2DBA6E"/>
              <w:left w:val="single" w:sz="4" w:space="0" w:color="2DBA6E"/>
              <w:bottom w:val="single" w:sz="4" w:space="0" w:color="2DBA6E"/>
              <w:right w:val="single" w:sz="4" w:space="0" w:color="2DBA6E"/>
            </w:tcBorders>
          </w:tcPr>
          <w:p>
            <w:pPr>
              <w:jc w:val="left"/>
              <w:spacing w:before="0" w:after="40"/>
            </w:pPr>
            <w:r>
              <w:rPr>
                <w:b/>
                <w:color w:val="1A8048"/>
                <w:sz w:val="21"/>
              </w:rPr>
              <w:t>▸  Interval Partitioning — The Gap Most Tools Miss</w:t>
            </w:r>
          </w:p>
          <w:p>
            <w:pPr>
              <w:spacing w:before="0" w:after="40"/>
            </w:pPr>
            <w:r>
              <w:rPr>
                <w:color w:val="1A2438"/>
                <w:sz w:val="20"/>
              </w:rPr>
              <w:t>Oracle's INTERVAL partitioning auto-creates partitions when new data arrives outside existing boundaries.</w:t>
            </w:r>
          </w:p>
          <w:p>
            <w:pPr>
              <w:spacing w:before="0" w:after="40"/>
            </w:pPr>
            <w:r>
              <w:rPr>
                <w:color w:val="1A2438"/>
                <w:sz w:val="20"/>
              </w:rPr>
              <w:t>PostgreSQL has no native equivalent — every other migration tool silently drops this behaviour.</w:t>
            </w:r>
          </w:p>
          <w:p>
            <w:pPr>
              <w:spacing w:before="0" w:after="40"/>
            </w:pPr>
            <w:r>
              <w:rPr>
                <w:color w:val="1A2438"/>
                <w:sz w:val="20"/>
              </w:rPr>
              <w:t>DBMigrateAIPro generates a complete pg_partman configuration with a pg_cron maintenance schedule.</w:t>
            </w:r>
          </w:p>
          <w:p>
            <w:pPr>
              <w:spacing w:before="0" w:after="40"/>
            </w:pPr>
            <w:r>
              <w:rPr>
                <w:color w:val="1A2438"/>
                <w:sz w:val="20"/>
              </w:rPr>
              <w:t>The setup script is ready to run on RDS (which supports both pg_partman and pg_cron natively).</w:t>
            </w:r>
          </w:p>
          <w:p>
            <w:pPr>
              <w:spacing w:before="0" w:after="40"/>
            </w:pPr>
            <w:r>
              <w:rPr>
                <w:color w:val="1A2438"/>
                <w:sz w:val="20"/>
              </w:rPr>
              <w:t>No manual partition management required after migration.</w:t>
            </w:r>
          </w:p>
        </w:tc>
      </w:tr>
    </w:tbl>
    <w:p/>
    <w:p>
      <w:r>
        <w:br w:type="page"/>
      </w:r>
    </w:p>
    <w:p>
      <w:pPr>
        <w:jc w:val="left"/>
        <w:spacing w:before="360" w:after="160"/>
        <w:pBdr>
          <w:bottom w:val="single" w:sz="6" w:space="4" w:color="0074D9"/>
        </w:pBdr>
      </w:pPr>
      <w:r>
        <w:rPr>
          <w:b/>
          <w:color w:val="0A182E"/>
          <w:sz w:val="36"/>
        </w:rPr>
        <w:t>Chapter 5  ·  PL/SQL to PL/pgSQL — AI-Assisted Conversion</w:t>
      </w:r>
    </w:p>
    <w:p>
      <w:pPr>
        <w:spacing w:before="0" w:after="100"/>
      </w:pPr>
      <w:r>
        <w:rPr>
          <w:color w:val="1A2438"/>
          <w:sz w:val="21"/>
        </w:rPr>
        <w:t>PL/SQL conversion is where migration schedules slip. Schema and data conversion are largely automatable. PL/SQL is not — at least, not the parts that matter. A package that automated tools convert in five seconds may take five days to get right.</w:t>
      </w:r>
    </w:p>
    <w:p>
      <w:pPr>
        <w:spacing w:before="0" w:after="100"/>
      </w:pPr>
      <w:r>
        <w:rPr>
          <w:color w:val="1A2438"/>
          <w:sz w:val="21"/>
        </w:rPr>
        <w:t>DBMigrateAIPro's approach is honest about this: it automates everything that can be automated safely, flags everything that requires human attention with a specific explanation, and never silently generates broken code.</w:t>
      </w:r>
    </w:p>
    <w:p>
      <w:pPr>
        <w:spacing w:before="240" w:after="80"/>
      </w:pPr>
      <w:r>
        <w:rPr>
          <w:b/>
          <w:color w:val="0074D9"/>
          <w:sz w:val="26"/>
        </w:rPr>
        <w:t>5.1  Automatic Translations</w:t>
      </w:r>
    </w:p>
    <w:tbl>
      <w:tblPr>
        <w:tblStyle w:val="TableGrid"/>
        <w:tblW w:type="auto" w:w="0"/>
        <w:jc w:val="center"/>
        <w:tblLook w:firstColumn="1" w:firstRow="1" w:lastColumn="0" w:lastRow="0" w:noHBand="0" w:noVBand="1" w:val="04A0"/>
      </w:tblPr>
      <w:tblGrid>
        <w:gridCol w:w="3024"/>
        <w:gridCol w:w="3024"/>
        <w:gridCol w:w="3024"/>
      </w:tblGrid>
      <w:tr>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Oracle PL/SQL Construct</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PostgreSQL PL/pgSQL</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DBMigrateAIPro Handling</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DBMS_OUTPUT.PUT_LINE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RAISE NOTICE '%', ...</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Auto-translated</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:NEW.col / :OLD.col</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NEW.col / OLD.col</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Colon prefix removed</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INSERTING/UPDATING/DELETING</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TG_OP = 'INSERT'/'UPDATE'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Auto-translated</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NVL(a, b)</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COALESCE(a, b)</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Auto-translated</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NVL2(a,b,c)</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CASE WHEN a IS NOT NULL THEN b…</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Auto-translated</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DECODE(a,b,c,d,e)</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CASE WHEN a=b THEN c…</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Auto-translated</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SYSDATE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CURRENT_TIMESTAMP::TIMESTAMP(0)</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Auto-translated</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SYSTIMESTAMP</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CURRENT_TIMESTAMP</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Auto-translated</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TRUNC(d, 'MM')</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DATE_TRUNC('month', d)</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Auto-translated</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SUBSTR(s,m,n)</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SUBSTRING(s FROM m FOR n)</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Auto-translated</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INSTR(s, sub)</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STRPOS(s, sub)</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Auto-translated — 2-arg form</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RAISE_APPLICATION_ERROR</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RAISE EXCEPTION … USING ERRCODE</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Code and message preserved</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SELECT … FROM DUAL</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SELECT …  (no FROM)</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DUAL clause removed</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ROWNUM &lt;= n</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LIMIT n</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Auto-translated</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SYS_REFCURSOR</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REFCURSOR</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Auto-translated</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EXECUTE IMMEDIATE 'sql'</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EXECUTE 'sql'</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Auto-translated</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SQL%ROWCOUNT / SQL%FOUND</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GET DIAGNOSTICS / FOUND</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Auto-translated</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Package → Schema</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One schema per package</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Members become functions/procedures</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CONNECT BY … PRIOR</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WITH RECURSIVE CTE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Auto-translated (most patterns)</w:t>
            </w:r>
          </w:p>
        </w:tc>
      </w:tr>
    </w:tbl>
    <w:p/>
    <w:p>
      <w:pPr>
        <w:spacing w:before="240" w:after="80"/>
      </w:pPr>
      <w:r>
        <w:rPr>
          <w:b/>
          <w:color w:val="0074D9"/>
          <w:sz w:val="26"/>
        </w:rPr>
        <w:t>5.2  Advisor-Flagged Items (Human Review Required)</w:t>
      </w:r>
    </w:p>
    <w:tbl>
      <w:tblPr>
        <w:tblStyle w:val="TableGrid"/>
        <w:tblW w:type="auto" w:w="0"/>
        <w:jc w:val="center"/>
        <w:tblLook w:firstColumn="1" w:firstRow="1" w:lastColumn="0" w:lastRow="0" w:noHBand="0" w:noVBand="1" w:val="04A0"/>
      </w:tblPr>
      <w:tblGrid>
        <w:gridCol w:w="3024"/>
        <w:gridCol w:w="3024"/>
        <w:gridCol w:w="3024"/>
      </w:tblGrid>
      <w:tr>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Oracle Construct</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Challenge</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DBMigrateAIPro Advisor Output</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PRAGMA AUTONOMOUS_TRANSACTION</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No direct PG equivalent</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Flags with 3 workaround options: dblink, pg_background, or application-layer redesign</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BULK COLLECT / FORALL</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No context-switch overhead in PG</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Suggests rewrite as set-based SQL (UPDATE … WHERE …) — usually simpler and faster</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Package-level state (globals)</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No package variables in PG</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Suggests temp table or custom GUC variable; flags usage count</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Object types (CREATE TYPE … BODY)</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Complex in PG</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Translates simple types; flags complex methods for redesign</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DBMS_SCHEDULER jobs</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No PG native scheduler</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Generates pg_cron equivalent or external cron suggestion</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Database links</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Use postgres_fdw or oracle_fdw</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Generates FDW setup script for both PG-to-PG and PG-to-Oracle</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BFILE references</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No equivalent in PG</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Flags: move to filesystem/S3 + store path in TEXT column</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Oracle Text / CTX_DDL</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Use pg_trgm or tsvector</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Generates GIN/tsvector index equivalent where pattern matches</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Compound triggers (ORA-04091)</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Mutating table — not needed in PG</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Simplifies to plain row trigger (PG has no mutating-table restriction)</w:t>
            </w:r>
          </w:p>
        </w:tc>
      </w:tr>
    </w:tbl>
    <w:p/>
    <w:tbl>
      <w:tblPr>
        <w:tblW w:type="auto" w:w="0"/>
        <w:jc w:val="center"/>
        <w:tblLook w:firstColumn="1" w:firstRow="1" w:lastColumn="0" w:lastRow="0" w:noHBand="0" w:noVBand="1" w:val="04A0"/>
      </w:tblPr>
      <w:tblGrid>
        <w:gridCol w:w="9072"/>
      </w:tblGrid>
      <w:tr>
        <w:tc>
          <w:tcPr>
            <w:tcW w:type="dxa" w:w="9072"/>
            <w:shd w:val="clear" w:color="auto" w:fill="E8F9EE"/>
            <w:tcBorders>
              <w:top w:val="single" w:sz="4" w:space="0" w:color="2DBA6E"/>
              <w:left w:val="single" w:sz="4" w:space="0" w:color="2DBA6E"/>
              <w:bottom w:val="single" w:sz="4" w:space="0" w:color="2DBA6E"/>
              <w:right w:val="single" w:sz="4" w:space="0" w:color="2DBA6E"/>
            </w:tcBorders>
          </w:tcPr>
          <w:p>
            <w:pPr>
              <w:jc w:val="left"/>
              <w:spacing w:before="0" w:after="40"/>
            </w:pPr>
            <w:r>
              <w:rPr>
                <w:b/>
                <w:color w:val="1A8048"/>
                <w:sz w:val="21"/>
              </w:rPr>
              <w:t>▸  The Mutating Table Problem — Solved Automatically</w:t>
            </w:r>
          </w:p>
          <w:p>
            <w:pPr>
              <w:spacing w:before="0" w:after="40"/>
            </w:pPr>
            <w:r>
              <w:rPr>
                <w:color w:val="1A2438"/>
                <w:sz w:val="20"/>
              </w:rPr>
              <w:t>Oracle triggers cannot read or modify the table that fired them (ORA-04091: mutating table).</w:t>
            </w:r>
          </w:p>
          <w:p>
            <w:pPr>
              <w:spacing w:before="0" w:after="40"/>
            </w:pPr>
            <w:r>
              <w:rPr>
                <w:color w:val="1A2438"/>
                <w:sz w:val="20"/>
              </w:rPr>
              <w:t>PL/SQL developers build elaborate compound triggers and collection workarounds around this restriction.</w:t>
            </w:r>
          </w:p>
          <w:p>
            <w:pPr>
              <w:spacing w:before="0" w:after="40"/>
            </w:pPr>
            <w:r>
              <w:rPr>
                <w:color w:val="1A2438"/>
                <w:sz w:val="20"/>
              </w:rPr>
              <w:t>PostgreSQL has no mutating-table restriction.</w:t>
            </w:r>
          </w:p>
          <w:p>
            <w:pPr>
              <w:spacing w:before="0" w:after="40"/>
            </w:pPr>
            <w:r>
              <w:rPr>
                <w:color w:val="1A2438"/>
                <w:sz w:val="20"/>
              </w:rPr>
              <w:t>DBMigrateAIPro detects compound trigger patterns built for ORA-04091 workarounds and simplifies</w:t>
            </w:r>
          </w:p>
          <w:p>
            <w:pPr>
              <w:spacing w:before="0" w:after="40"/>
            </w:pPr>
            <w:r>
              <w:rPr>
                <w:color w:val="1A2438"/>
                <w:sz w:val="20"/>
              </w:rPr>
              <w:t>them to plain row-level triggers — removing thousands of lines of boilerplate automatically.</w:t>
            </w:r>
          </w:p>
        </w:tc>
      </w:tr>
    </w:tbl>
    <w:p/>
    <w:p>
      <w:r>
        <w:br w:type="page"/>
      </w:r>
    </w:p>
    <w:p>
      <w:pPr>
        <w:jc w:val="left"/>
        <w:spacing w:before="360" w:after="160"/>
        <w:pBdr>
          <w:bottom w:val="single" w:sz="6" w:space="4" w:color="0074D9"/>
        </w:pBdr>
      </w:pPr>
      <w:r>
        <w:rPr>
          <w:b/>
          <w:color w:val="0A182E"/>
          <w:sz w:val="36"/>
        </w:rPr>
        <w:t>Chapter 6  ·  Data Migration — Flash Direct Pipe</w:t>
      </w:r>
    </w:p>
    <w:p>
      <w:pPr>
        <w:spacing w:before="240" w:after="80"/>
      </w:pPr>
      <w:r>
        <w:rPr>
          <w:b/>
          <w:color w:val="0074D9"/>
          <w:sz w:val="26"/>
        </w:rPr>
        <w:t>6.1  Why Standard Migration Tools Are Slow</w:t>
      </w:r>
    </w:p>
    <w:p>
      <w:pPr>
        <w:spacing w:before="0" w:after="100"/>
      </w:pPr>
      <w:r>
        <w:rPr>
          <w:color w:val="1A2438"/>
          <w:sz w:val="21"/>
        </w:rPr>
        <w:t>Standard database migration tools — including AWS DMS and ora2pg — route data through multiple conversion layers between the source and target:</w:t>
      </w:r>
    </w:p>
    <w:p>
      <w:pPr>
        <w:spacing w:before="0" w:after="100"/>
      </w:pPr>
      <w:r>
        <w:rPr>
          <w:color w:val="1A2438"/>
          <w:sz w:val="21"/>
        </w:rPr>
        <w:t>Standard path (multi-hop):  Oracle rows → Arrow RecordBatch → LZ4 compress → [thread boundary] → LZ4 decompress → Arrow RecordBatch → CSV bytes → PG COPY</w:t>
      </w:r>
    </w:p>
    <w:p>
      <w:pPr>
        <w:spacing w:before="0" w:after="100"/>
      </w:pPr>
      <w:r>
        <w:rPr>
          <w:color w:val="1A2438"/>
          <w:sz w:val="21"/>
        </w:rPr>
        <w:t>Every hop costs CPU time and memory. The LZ4 compress/decompress cycle burns CPU that could be transferring data. The Arrow serialisation/deserialisation adds latency. Thread boundaries add synchronisation overhead. The result: typical Oracle→PostgreSQL tools achieve 200K–500K rows/second. DBMigrateAIPro's Flash Direct Pipe routinely achieves 1M–3M rows/second on the same hardware.</w:t>
      </w:r>
    </w:p>
    <w:p>
      <w:pPr>
        <w:spacing w:before="240" w:after="80"/>
      </w:pPr>
      <w:r>
        <w:rPr>
          <w:b/>
          <w:color w:val="0074D9"/>
          <w:sz w:val="26"/>
        </w:rPr>
        <w:t>6.2  Flash Direct Pipe Architecture</w:t>
      </w:r>
    </w:p>
    <w:tbl>
      <w:tblPr>
        <w:tblW w:type="auto" w:w="0"/>
        <w:jc w:val="center"/>
        <w:tblLook w:firstColumn="1" w:firstRow="1" w:lastColumn="0" w:lastRow="0" w:noHBand="0" w:noVBand="1" w:val="04A0"/>
      </w:tblPr>
      <w:tblGrid>
        <w:gridCol w:w="9072"/>
      </w:tblGrid>
      <w:tr>
        <w:tc>
          <w:tcPr>
            <w:tcW w:type="dxa" w:w="9072"/>
            <w:shd w:val="clear" w:color="auto" w:fill="0A182E"/>
            <w:tcBorders>
              <w:top w:val="single" w:sz="4" w:space="0" w:color="00D4FF"/>
              <w:left w:val="single" w:sz="4" w:space="0" w:color="00D4FF"/>
              <w:bottom w:val="single" w:sz="4" w:space="0" w:color="00D4FF"/>
              <w:right w:val="single" w:sz="4" w:space="0" w:color="00D4FF"/>
            </w:tcBorders>
          </w:tcPr>
          <w:p>
            <w:pPr>
              <w:jc w:val="left"/>
              <w:spacing w:before="0" w:after="40"/>
            </w:pPr>
            <w:r>
              <w:rPr>
                <w:b/>
                <w:color w:val="00D4FF"/>
                <w:sz w:val="21"/>
              </w:rPr>
              <w:t>⚡  Flash Direct Pipe: Oracle → PostgreSQL COPY in One Hop</w:t>
            </w:r>
          </w:p>
          <w:p>
            <w:pPr>
              <w:spacing w:before="0" w:after="40"/>
            </w:pPr>
            <w:r>
              <w:rPr>
                <w:color w:val="1A2438"/>
                <w:sz w:val="20"/>
              </w:rPr>
              <w:t>Oracle rows → PG COPY text bytes → PG COPY FROM STDIN</w:t>
            </w:r>
          </w:p>
          <w:p>
            <w:pPr>
              <w:spacing w:before="0" w:after="40"/>
            </w:pPr>
            <w:r>
              <w:rPr>
                <w:color w:val="1A2438"/>
                <w:sz w:val="20"/>
              </w:rPr>
            </w:r>
          </w:p>
          <w:p>
            <w:pPr>
              <w:spacing w:before="0" w:after="40"/>
            </w:pPr>
            <w:r>
              <w:rPr>
                <w:color w:val="1A2438"/>
                <w:sz w:val="20"/>
              </w:rPr>
              <w:t>Everything happens in ONE thread per partition:</w:t>
            </w:r>
          </w:p>
          <w:p>
            <w:pPr>
              <w:spacing w:before="0" w:after="40"/>
            </w:pPr>
            <w:r>
              <w:rPr>
                <w:color w:val="1A2438"/>
                <w:sz w:val="20"/>
              </w:rPr>
              <w:t xml:space="preserve">  • No Arrow creation / destruction</w:t>
            </w:r>
          </w:p>
          <w:p>
            <w:pPr>
              <w:spacing w:before="0" w:after="40"/>
            </w:pPr>
            <w:r>
              <w:rPr>
                <w:color w:val="1A2438"/>
                <w:sz w:val="20"/>
              </w:rPr>
              <w:t xml:space="preserve">  • No LZ4 compress / decompress cycle</w:t>
            </w:r>
          </w:p>
          <w:p>
            <w:pPr>
              <w:spacing w:before="0" w:after="40"/>
            </w:pPr>
            <w:r>
              <w:rPr>
                <w:color w:val="1A2438"/>
                <w:sz w:val="20"/>
              </w:rPr>
              <w:t xml:space="preserve">  • No thread-queue between extractor and loader</w:t>
            </w:r>
          </w:p>
          <w:p>
            <w:pPr>
              <w:spacing w:before="0" w:after="40"/>
            </w:pPr>
            <w:r>
              <w:rPr>
                <w:color w:val="1A2438"/>
                <w:sz w:val="20"/>
              </w:rPr>
              <w:t xml:space="preserve">  • Two DB connections per worker instead of four</w:t>
            </w:r>
          </w:p>
          <w:p>
            <w:pPr>
              <w:spacing w:before="0" w:after="40"/>
            </w:pPr>
            <w:r>
              <w:rPr>
                <w:color w:val="1A2438"/>
                <w:sz w:val="20"/>
              </w:rPr>
            </w:r>
          </w:p>
          <w:p>
            <w:pPr>
              <w:spacing w:before="0" w:after="40"/>
            </w:pPr>
            <w:r>
              <w:rPr>
                <w:color w:val="1A2438"/>
                <w:sz w:val="20"/>
              </w:rPr>
              <w:t>PostgreSQL session tuning applied automatically per worker:</w:t>
            </w:r>
          </w:p>
          <w:p>
            <w:pPr>
              <w:spacing w:before="0" w:after="40"/>
            </w:pPr>
            <w:r>
              <w:rPr>
                <w:color w:val="1A2438"/>
                <w:sz w:val="20"/>
              </w:rPr>
              <w:t xml:space="preserve">  SET synchronous_commit = OFF   — no WAL flush wait per batch</w:t>
            </w:r>
          </w:p>
          <w:p>
            <w:pPr>
              <w:spacing w:before="0" w:after="40"/>
            </w:pPr>
            <w:r>
              <w:rPr>
                <w:color w:val="1A2438"/>
                <w:sz w:val="20"/>
              </w:rPr>
              <w:t xml:space="preserve">  SET work_mem = '256MB'         — generous sort memory</w:t>
            </w:r>
          </w:p>
          <w:p>
            <w:pPr>
              <w:spacing w:before="0" w:after="40"/>
            </w:pPr>
            <w:r>
              <w:rPr>
                <w:color w:val="1A2438"/>
                <w:sz w:val="20"/>
              </w:rPr>
            </w:r>
          </w:p>
          <w:p>
            <w:pPr>
              <w:spacing w:before="0" w:after="40"/>
            </w:pPr>
            <w:r>
              <w:rPr>
                <w:color w:val="1A2438"/>
                <w:sz w:val="20"/>
              </w:rPr>
              <w:t>Result: 3–5× higher rows/second vs Arrow path on a 1-Gbps link.</w:t>
            </w:r>
          </w:p>
          <w:p>
            <w:pPr>
              <w:spacing w:before="0" w:after="40"/>
            </w:pPr>
            <w:r>
              <w:rPr>
                <w:color w:val="1A2438"/>
                <w:sz w:val="20"/>
              </w:rPr>
              <w:t>Scales to 1 TB in &lt; 1 hour on standard infrastructure.</w:t>
            </w:r>
          </w:p>
        </w:tc>
      </w:tr>
    </w:tbl>
    <w:p/>
    <w:p>
      <w:pPr>
        <w:spacing w:before="240" w:after="80"/>
      </w:pPr>
      <w:r>
        <w:rPr>
          <w:b/>
          <w:color w:val="0074D9"/>
          <w:sz w:val="26"/>
        </w:rPr>
        <w:t>6.3  Performance Comparison</w:t>
      </w:r>
    </w:p>
    <w:tbl>
      <w:tblPr>
        <w:tblStyle w:val="TableGrid"/>
        <w:tblW w:type="auto" w:w="0"/>
        <w:jc w:val="center"/>
        <w:tblLook w:firstColumn="1" w:firstRow="1" w:lastColumn="0" w:lastRow="0" w:noHBand="0" w:noVBand="1" w:val="04A0"/>
      </w:tblPr>
      <w:tblGrid>
        <w:gridCol w:w="2268"/>
        <w:gridCol w:w="2268"/>
        <w:gridCol w:w="2268"/>
        <w:gridCol w:w="2268"/>
      </w:tblGrid>
      <w:tr>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Tool</w:t>
            </w:r>
          </w:p>
        </w:tc>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Architecture</w:t>
            </w:r>
          </w:p>
        </w:tc>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Typical Throughput</w:t>
            </w:r>
          </w:p>
        </w:tc>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1 TB Migration Time</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AWS DMS</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Multi-hop: CDC replication path</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50K–200K rows/s</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8–40 hours</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ora2pg</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COPY via intermediate files</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100K–400K rows/s</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4–20 hours</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AWS SCT + DMS</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Multi-hop Arrow</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80K–300K rows/s</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6–30 hours</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GoldenGate</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Log-based capture</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100K–500K rows/s</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4–18 hours</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DBMigrateAIPro</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Flash Direct Pipe (one hop)</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1M–3M+ rows/s</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&lt; 1 hour   ✅</w:t>
            </w:r>
          </w:p>
        </w:tc>
      </w:tr>
    </w:tbl>
    <w:p/>
    <w:p>
      <w:pPr>
        <w:spacing w:before="0" w:after="100"/>
      </w:pPr>
      <w:r>
        <w:rPr>
          <w:color w:val="1A2438"/>
          <w:sz w:val="21"/>
        </w:rPr>
        <w:t>Figures depend on network bandwidth, source/target hardware, column widths, and data type mix. Benchmarks are on 1-Gbps infrastructure with 8-worker parallel extraction. DBMigrateAIPro scales to 32 workers on Pro and 128 on Enterprise, with near-linear throughput improvement.</w:t>
      </w:r>
    </w:p>
    <w:p>
      <w:pPr>
        <w:spacing w:before="240" w:after="80"/>
      </w:pPr>
      <w:r>
        <w:rPr>
          <w:b/>
          <w:color w:val="0074D9"/>
          <w:sz w:val="26"/>
        </w:rPr>
        <w:t>6.4  Parallel Extraction and Checkpoint/Resume</w:t>
      </w:r>
    </w:p>
    <w:p>
      <w:pPr>
        <w:spacing w:before="0" w:after="100"/>
      </w:pPr>
      <w:r>
        <w:rPr>
          <w:color w:val="1A2438"/>
          <w:sz w:val="21"/>
        </w:rPr>
        <w:t>DBMigrateAIPro partitions large tables into parallel extraction chunks using ORA_HASH on ROWID (Oracle) or PK-range splitting (PostgreSQL sources). Each partition is processed by an independent worker thread with its own source and target connections.</w:t>
      </w:r>
    </w:p>
    <w:p>
      <w:pPr>
        <w:pStyle w:val="ListBullet"/>
        <w:spacing w:before="0" w:after="60"/>
      </w:pPr>
      <w:r>
        <w:rPr>
          <w:b/>
          <w:color w:val="0074D9"/>
          <w:sz w:val="21"/>
        </w:rPr>
        <w:t xml:space="preserve">Checkpoint/Resume:  </w:t>
      </w:r>
      <w:r>
        <w:rPr>
          <w:color w:val="1A2438"/>
          <w:sz w:val="21"/>
        </w:rPr>
        <w:t>If a migration is interrupted (network failure, manual stop), DBMigrateAIPro resumes from the last completed partition — not from zero.</w:t>
      </w:r>
    </w:p>
    <w:p>
      <w:pPr>
        <w:pStyle w:val="ListBullet"/>
        <w:spacing w:before="0" w:after="60"/>
      </w:pPr>
      <w:r>
        <w:rPr>
          <w:b/>
          <w:color w:val="0074D9"/>
          <w:sz w:val="21"/>
        </w:rPr>
        <w:t xml:space="preserve">Retry Failed Tables:  </w:t>
      </w:r>
      <w:r>
        <w:rPr>
          <w:color w:val="1A2438"/>
          <w:sz w:val="21"/>
        </w:rPr>
        <w:t>If a single table fails (e.g. constraint violation, connection drop), the error dialog shows the exact error type with classification, and a 'Retry Table' button re-runs just that table.</w:t>
      </w:r>
    </w:p>
    <w:p>
      <w:pPr>
        <w:pStyle w:val="ListBullet"/>
        <w:spacing w:before="0" w:after="60"/>
      </w:pPr>
      <w:r>
        <w:rPr>
          <w:b/>
          <w:color w:val="0074D9"/>
          <w:sz w:val="21"/>
        </w:rPr>
        <w:t xml:space="preserve">Auto-Scaling:  </w:t>
      </w:r>
      <w:r>
        <w:rPr>
          <w:color w:val="1A2438"/>
          <w:sz w:val="21"/>
        </w:rPr>
        <w:t>CPU and memory monitoring adjusts the number of active workers dynamically — prevents OOM on large tables.</w:t>
      </w:r>
    </w:p>
    <w:p>
      <w:pPr>
        <w:pStyle w:val="ListBullet"/>
        <w:spacing w:before="0" w:after="60"/>
      </w:pPr>
      <w:r>
        <w:rPr>
          <w:b/>
          <w:color w:val="0074D9"/>
          <w:sz w:val="21"/>
        </w:rPr>
        <w:t xml:space="preserve">Batch Size Tuning:  </w:t>
      </w:r>
      <w:r>
        <w:rPr>
          <w:color w:val="1A2438"/>
          <w:sz w:val="21"/>
        </w:rPr>
        <w:t>Default 50,000 rows/batch. Configurable per migration. Larger batches reduce round-trips; smaller batches reduce memory pressure.</w:t>
      </w:r>
    </w:p>
    <w:p>
      <w:r>
        <w:br w:type="page"/>
      </w:r>
    </w:p>
    <w:p>
      <w:pPr>
        <w:jc w:val="left"/>
        <w:spacing w:before="360" w:after="160"/>
        <w:pBdr>
          <w:bottom w:val="single" w:sz="6" w:space="4" w:color="0074D9"/>
        </w:pBdr>
      </w:pPr>
      <w:r>
        <w:rPr>
          <w:b/>
          <w:color w:val="0A182E"/>
          <w:sz w:val="36"/>
        </w:rPr>
        <w:t>Chapter 7  ·  Change Data Capture — Zero-Downtime Migration</w:t>
      </w:r>
    </w:p>
    <w:p>
      <w:pPr>
        <w:spacing w:before="0" w:after="100"/>
      </w:pPr>
      <w:r>
        <w:rPr>
          <w:color w:val="1A2438"/>
          <w:sz w:val="21"/>
        </w:rPr>
        <w:t>The biggest risk in a database migration is downtime. For systems that can tolerate a planned maintenance window, a bulk migration is sufficient. For systems that must keep running — production OLTP databases, customer-facing applications, systems with SLA requirements — Change Data Capture (CDC) is the only viable cutover strategy.</w:t>
      </w:r>
    </w:p>
    <w:p>
      <w:pPr>
        <w:spacing w:before="240" w:after="80"/>
      </w:pPr>
      <w:r>
        <w:rPr>
          <w:b/>
          <w:color w:val="0074D9"/>
          <w:sz w:val="26"/>
        </w:rPr>
        <w:t>7.1  How CDC Works in DBMigrateAIPro</w:t>
      </w:r>
    </w:p>
    <w:p>
      <w:pPr>
        <w:spacing w:before="0" w:after="100"/>
      </w:pPr>
      <w:r>
        <w:rPr>
          <w:color w:val="1A2438"/>
          <w:sz w:val="21"/>
        </w:rPr>
        <w:t>DBMigrateAIPro implements a two-phase CDC strategy that is independent of GoldenGate, Debezium, or any external connector:</w:t>
      </w:r>
    </w:p>
    <w:p>
      <w:pPr>
        <w:pStyle w:val="ListBullet"/>
        <w:spacing w:before="0" w:after="60"/>
      </w:pPr>
      <w:r>
        <w:rPr>
          <w:b/>
          <w:color w:val="00D4FF"/>
          <w:sz w:val="21"/>
        </w:rPr>
        <w:t xml:space="preserve">Phase 1 — Initial Load:  </w:t>
      </w:r>
      <w:r>
        <w:rPr>
          <w:color w:val="1A2438"/>
          <w:sz w:val="21"/>
        </w:rPr>
        <w:t>Run the Flash Direct Pipe migration to copy all historical data to PostgreSQL. The Oracle source continues to receive writes during this phase.</w:t>
      </w:r>
    </w:p>
    <w:p>
      <w:pPr>
        <w:pStyle w:val="ListBullet"/>
        <w:spacing w:before="0" w:after="60"/>
      </w:pPr>
      <w:r>
        <w:rPr>
          <w:b/>
          <w:color w:val="00D4FF"/>
          <w:sz w:val="21"/>
        </w:rPr>
        <w:t xml:space="preserve">Phase 2 — CDC Sync:  </w:t>
      </w:r>
      <w:r>
        <w:rPr>
          <w:color w:val="1A2438"/>
          <w:sz w:val="21"/>
        </w:rPr>
        <w:t>Once the initial load completes, DBMigrateAIPro activates the CDC replication panel. Changes made to Oracle during and after the initial load are captured from Oracle LogMiner and applied to PostgreSQL in near-real-time.</w:t>
      </w:r>
    </w:p>
    <w:p>
      <w:pPr>
        <w:pStyle w:val="ListBullet"/>
        <w:spacing w:before="0" w:after="60"/>
      </w:pPr>
      <w:r>
        <w:rPr>
          <w:b/>
          <w:color w:val="00D4FF"/>
          <w:sz w:val="21"/>
        </w:rPr>
        <w:t xml:space="preserve">Cutover:  </w:t>
      </w:r>
      <w:r>
        <w:rPr>
          <w:color w:val="1A2438"/>
          <w:sz w:val="21"/>
        </w:rPr>
        <w:t>When the replication lag reaches near-zero (typically &lt;1 second), the application is switched to PostgreSQL. No bulk data downtime.</w:t>
      </w:r>
    </w:p>
    <w:p>
      <w:pPr>
        <w:pStyle w:val="ListBullet"/>
        <w:spacing w:before="0" w:after="60"/>
      </w:pPr>
      <w:r>
        <w:rPr>
          <w:b/>
          <w:color w:val="00D4FF"/>
          <w:sz w:val="21"/>
        </w:rPr>
        <w:t xml:space="preserve">Post-Cutover Monitoring:  </w:t>
      </w:r>
      <w:r>
        <w:rPr>
          <w:color w:val="1A2438"/>
          <w:sz w:val="21"/>
        </w:rPr>
        <w:t>The CDC panel continues to show replication lag, throughput, error count, and last applied LSN for verification.</w:t>
      </w:r>
    </w:p>
    <w:p>
      <w:pPr>
        <w:spacing w:before="240" w:after="80"/>
      </w:pPr>
      <w:r>
        <w:rPr>
          <w:b/>
          <w:color w:val="0074D9"/>
          <w:sz w:val="26"/>
        </w:rPr>
        <w:t>7.2  CDC Architecture Comparison</w:t>
      </w:r>
    </w:p>
    <w:tbl>
      <w:tblPr>
        <w:tblStyle w:val="TableGrid"/>
        <w:tblW w:type="auto" w:w="0"/>
        <w:jc w:val="center"/>
        <w:tblLook w:firstColumn="1" w:firstRow="1" w:lastColumn="0" w:lastRow="0" w:noHBand="0" w:noVBand="1" w:val="04A0"/>
      </w:tblPr>
      <w:tblGrid>
        <w:gridCol w:w="1814"/>
        <w:gridCol w:w="1814"/>
        <w:gridCol w:w="1814"/>
        <w:gridCol w:w="1814"/>
        <w:gridCol w:w="1814"/>
      </w:tblGrid>
      <w:tr>
        <w:tc>
          <w:tcPr>
            <w:tcW w:type="dxa" w:w="181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Tool</w:t>
            </w:r>
          </w:p>
        </w:tc>
        <w:tc>
          <w:tcPr>
            <w:tcW w:type="dxa" w:w="181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CDC Method</w:t>
            </w:r>
          </w:p>
        </w:tc>
        <w:tc>
          <w:tcPr>
            <w:tcW w:type="dxa" w:w="181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Setup Complexity</w:t>
            </w:r>
          </w:p>
        </w:tc>
        <w:tc>
          <w:tcPr>
            <w:tcW w:type="dxa" w:w="181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Separate Product?</w:t>
            </w:r>
          </w:p>
        </w:tc>
        <w:tc>
          <w:tcPr>
            <w:tcW w:type="dxa" w:w="181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Cost</w:t>
            </w:r>
          </w:p>
        </w:tc>
      </w:tr>
      <w:tr>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GoldenGate</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LogMiner / redo capture</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Very High</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Yes — separate licence</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w:t>
            </w:r>
          </w:p>
        </w:tc>
      </w:tr>
      <w:tr>
        <w:tc>
          <w:tcPr>
            <w:tcW w:type="dxa" w:w="181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Debezium</w:t>
            </w:r>
          </w:p>
        </w:tc>
        <w:tc>
          <w:tcPr>
            <w:tcW w:type="dxa" w:w="181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Kafka + connector setup</w:t>
            </w:r>
          </w:p>
        </w:tc>
        <w:tc>
          <w:tcPr>
            <w:tcW w:type="dxa" w:w="181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High</w:t>
            </w:r>
          </w:p>
        </w:tc>
        <w:tc>
          <w:tcPr>
            <w:tcW w:type="dxa" w:w="181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Yes — Kafka cluster</w:t>
            </w:r>
          </w:p>
        </w:tc>
        <w:tc>
          <w:tcPr>
            <w:tcW w:type="dxa" w:w="181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 (ops)</w:t>
            </w:r>
          </w:p>
        </w:tc>
      </w:tr>
      <w:tr>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AWS DMS</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AWS-managed replication</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Medium</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Yes — separate service</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w:t>
            </w:r>
          </w:p>
        </w:tc>
      </w:tr>
      <w:tr>
        <w:tc>
          <w:tcPr>
            <w:tcW w:type="dxa" w:w="181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Striim</w:t>
            </w:r>
          </w:p>
        </w:tc>
        <w:tc>
          <w:tcPr>
            <w:tcW w:type="dxa" w:w="181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Cloud streaming CDC</w:t>
            </w:r>
          </w:p>
        </w:tc>
        <w:tc>
          <w:tcPr>
            <w:tcW w:type="dxa" w:w="181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Medium</w:t>
            </w:r>
          </w:p>
        </w:tc>
        <w:tc>
          <w:tcPr>
            <w:tcW w:type="dxa" w:w="1814"/>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Yes — SaaS</w:t>
            </w:r>
          </w:p>
        </w:tc>
        <w:tc>
          <w:tcPr>
            <w:tcW w:type="dxa" w:w="181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w:t>
            </w:r>
          </w:p>
        </w:tc>
      </w:tr>
      <w:tr>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DBMigrateAIPro</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Built-in LogMiner-based</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Low — UI panel</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 No — same tool</w:t>
            </w:r>
          </w:p>
        </w:tc>
        <w:tc>
          <w:tcPr>
            <w:tcW w:type="dxa" w:w="181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Included</w:t>
            </w:r>
          </w:p>
        </w:tc>
      </w:tr>
    </w:tbl>
    <w:p/>
    <w:p>
      <w:r>
        <w:br w:type="page"/>
      </w:r>
    </w:p>
    <w:p>
      <w:pPr>
        <w:jc w:val="left"/>
        <w:spacing w:before="360" w:after="160"/>
        <w:pBdr>
          <w:bottom w:val="single" w:sz="6" w:space="4" w:color="0074D9"/>
        </w:pBdr>
      </w:pPr>
      <w:r>
        <w:rPr>
          <w:b/>
          <w:color w:val="0A182E"/>
          <w:sz w:val="36"/>
        </w:rPr>
        <w:t>Chapter 8  ·  Cryptographic Validation — Merkle-Tree Proof</w:t>
      </w:r>
    </w:p>
    <w:tbl>
      <w:tblPr>
        <w:tblW w:type="auto" w:w="0"/>
        <w:jc w:val="center"/>
        <w:tblLook w:firstColumn="1" w:firstRow="1" w:lastColumn="0" w:lastRow="0" w:noHBand="0" w:noVBand="1" w:val="04A0"/>
      </w:tblPr>
      <w:tblGrid>
        <w:gridCol w:w="9072"/>
      </w:tblGrid>
      <w:tr>
        <w:tc>
          <w:tcPr>
            <w:tcW w:type="dxa" w:w="9072"/>
            <w:shd w:val="clear" w:color="auto" w:fill="0A182E"/>
            <w:tcBorders>
              <w:top w:val="single" w:sz="4" w:space="0" w:color="00D4FF"/>
              <w:left w:val="single" w:sz="4" w:space="0" w:color="00D4FF"/>
              <w:bottom w:val="single" w:sz="4" w:space="0" w:color="00D4FF"/>
              <w:right w:val="single" w:sz="4" w:space="0" w:color="00D4FF"/>
            </w:tcBorders>
          </w:tcPr>
          <w:p>
            <w:pPr>
              <w:jc w:val="left"/>
              <w:spacing w:before="0" w:after="40"/>
            </w:pPr>
            <w:r>
              <w:rPr>
                <w:b/>
                <w:color w:val="00D4FF"/>
                <w:sz w:val="21"/>
              </w:rPr>
              <w:t>🔐  Industry First: Mathematical Proof Your Data Arrived Correctly</w:t>
            </w:r>
          </w:p>
          <w:p>
            <w:pPr>
              <w:spacing w:before="0" w:after="40"/>
            </w:pPr>
            <w:r>
              <w:rPr>
                <w:color w:val="1A2438"/>
                <w:sz w:val="20"/>
              </w:rPr>
              <w:t>AWS DMS tells you: 'X rows were migrated.'</w:t>
            </w:r>
          </w:p>
          <w:p>
            <w:pPr>
              <w:spacing w:before="0" w:after="40"/>
            </w:pPr>
            <w:r>
              <w:rPr>
                <w:color w:val="1A2438"/>
                <w:sz w:val="20"/>
              </w:rPr>
              <w:t>ora2pg tells you: 'X rows were loaded.'</w:t>
            </w:r>
          </w:p>
          <w:p>
            <w:pPr>
              <w:spacing w:before="0" w:after="40"/>
            </w:pPr>
            <w:r>
              <w:rPr>
                <w:color w:val="1A2438"/>
                <w:sz w:val="20"/>
              </w:rPr>
              <w:t>GoldenGate tells you: 'X transactions were replicated.'</w:t>
            </w:r>
          </w:p>
          <w:p>
            <w:pPr>
              <w:spacing w:before="0" w:after="40"/>
            </w:pPr>
            <w:r>
              <w:rPr>
                <w:color w:val="1A2438"/>
                <w:sz w:val="20"/>
              </w:rPr>
            </w:r>
          </w:p>
          <w:p>
            <w:pPr>
              <w:spacing w:before="0" w:after="40"/>
            </w:pPr>
            <w:r>
              <w:rPr>
                <w:color w:val="1A2438"/>
                <w:sz w:val="20"/>
              </w:rPr>
              <w:t>DBMigrateAIPro tells you: 'Here is the SHA-256 Merkle root of every partition,</w:t>
            </w:r>
          </w:p>
          <w:p>
            <w:pPr>
              <w:spacing w:before="0" w:after="40"/>
            </w:pPr>
            <w:r>
              <w:rPr>
                <w:color w:val="1A2438"/>
                <w:sz w:val="20"/>
              </w:rPr>
              <w:t>on both source and target, computed independently — and they match.'</w:t>
            </w:r>
          </w:p>
          <w:p>
            <w:pPr>
              <w:spacing w:before="0" w:after="40"/>
            </w:pPr>
            <w:r>
              <w:rPr>
                <w:color w:val="1A2438"/>
                <w:sz w:val="20"/>
              </w:rPr>
            </w:r>
          </w:p>
          <w:p>
            <w:pPr>
              <w:spacing w:before="0" w:after="40"/>
            </w:pPr>
            <w:r>
              <w:rPr>
                <w:color w:val="1A2438"/>
                <w:sz w:val="20"/>
              </w:rPr>
              <w:t>No other migration tool ships this capability. Not one.</w:t>
            </w:r>
          </w:p>
        </w:tc>
      </w:tr>
    </w:tbl>
    <w:p/>
    <w:p>
      <w:pPr>
        <w:spacing w:before="240" w:after="80"/>
      </w:pPr>
      <w:r>
        <w:rPr>
          <w:b/>
          <w:color w:val="0074D9"/>
          <w:sz w:val="26"/>
        </w:rPr>
        <w:t>8.1  What Merkle-Tree Validation Does</w:t>
      </w:r>
    </w:p>
    <w:p>
      <w:pPr>
        <w:spacing w:before="0" w:after="100"/>
      </w:pPr>
      <w:r>
        <w:rPr>
          <w:color w:val="1A2438"/>
          <w:sz w:val="21"/>
        </w:rPr>
        <w:t>Traditional validation compares row counts: COUNT(*) on source equals COUNT(*) on target. This catches missing rows but misses:</w:t>
      </w:r>
    </w:p>
    <w:p>
      <w:pPr>
        <w:pStyle w:val="ListBullet"/>
        <w:spacing w:before="0" w:after="60"/>
      </w:pPr>
      <w:r>
        <w:rPr>
          <w:color w:val="E05C6A"/>
          <w:sz w:val="21"/>
        </w:rPr>
        <w:t>Rows that were corrupted in transit (numeric overflow, encoding change, precision loss)</w:t>
      </w:r>
    </w:p>
    <w:p>
      <w:pPr>
        <w:pStyle w:val="ListBullet"/>
        <w:spacing w:before="0" w:after="60"/>
      </w:pPr>
      <w:r>
        <w:rPr>
          <w:color w:val="E05C6A"/>
          <w:sz w:val="21"/>
        </w:rPr>
        <w:t>Rows that were truncated (DATE → DATE silent time-component drop)</w:t>
      </w:r>
    </w:p>
    <w:p>
      <w:pPr>
        <w:pStyle w:val="ListBullet"/>
        <w:spacing w:before="0" w:after="60"/>
      </w:pPr>
      <w:r>
        <w:rPr>
          <w:color w:val="E05C6A"/>
          <w:sz w:val="21"/>
        </w:rPr>
        <w:t>Rows that were silently transformed by implicit type coercions</w:t>
      </w:r>
    </w:p>
    <w:p>
      <w:pPr>
        <w:pStyle w:val="ListBullet"/>
        <w:spacing w:before="0" w:after="60"/>
      </w:pPr>
      <w:r>
        <w:rPr>
          <w:color w:val="E05C6A"/>
          <w:sz w:val="21"/>
        </w:rPr>
        <w:t>The wrong rows (source had rows 1–1000, target has rows 1–999 and row 1001 duplicated)</w:t>
      </w:r>
    </w:p>
    <w:p>
      <w:pPr>
        <w:spacing w:before="0" w:after="100"/>
      </w:pPr>
      <w:r>
        <w:rPr>
          <w:color w:val="1A2438"/>
          <w:sz w:val="21"/>
        </w:rPr>
        <w:br/>
        <w:t>Merkle-tree validation hashes every row on both sides and compares the hashes. A mismatch in any single bit of any single column in any single row is detected — at the partition level, in seconds, without re-reading the full table.</w:t>
      </w:r>
    </w:p>
    <w:p>
      <w:pPr>
        <w:spacing w:before="240" w:after="80"/>
      </w:pPr>
      <w:r>
        <w:rPr>
          <w:b/>
          <w:color w:val="0074D9"/>
          <w:sz w:val="26"/>
        </w:rPr>
        <w:t>8.2  How It Works — Technical Detail</w:t>
      </w:r>
    </w:p>
    <w:p>
      <w:pPr>
        <w:spacing w:before="0" w:after="100"/>
      </w:pPr>
      <w:r>
        <w:rPr>
          <w:color w:val="1A2438"/>
          <w:sz w:val="21"/>
        </w:rPr>
        <w:t>The implementation uses a flat 2-level Merkle tree with SHA-256:</w:t>
      </w:r>
    </w:p>
    <w:p>
      <w:pPr>
        <w:spacing w:before="40" w:after="40"/>
      </w:pPr>
      <w:r>
        <w:rPr>
          <w:b/>
          <w:color w:val="00D4FF"/>
          <w:sz w:val="20"/>
        </w:rPr>
        <w:t xml:space="preserve">  Step 1  </w:t>
      </w:r>
      <w:r>
        <w:rPr>
          <w:color w:val="1A2438"/>
          <w:sz w:val="20"/>
        </w:rPr>
        <w:t>For each row: SHA-256(canonical_form(col1) ║ \x1F ║ canonical_form(col2) ║ … ║ canonical_form(colN))</w:t>
      </w:r>
    </w:p>
    <w:p>
      <w:pPr>
        <w:spacing w:before="40" w:after="40"/>
      </w:pPr>
      <w:r>
        <w:rPr>
          <w:b/>
          <w:color w:val="00D4FF"/>
          <w:sz w:val="20"/>
        </w:rPr>
        <w:t xml:space="preserve">  Step 2  </w:t>
      </w:r>
      <w:r>
        <w:rPr>
          <w:color w:val="1A2438"/>
          <w:sz w:val="20"/>
        </w:rPr>
        <w:t>For each group of 1,024 rows: SHA-256(row_hash_1 ║ row_hash_2 ║ … ║ row_hash_1024)</w:t>
      </w:r>
    </w:p>
    <w:p>
      <w:pPr>
        <w:spacing w:before="40" w:after="40"/>
      </w:pPr>
      <w:r>
        <w:rPr>
          <w:b/>
          <w:color w:val="00D4FF"/>
          <w:sz w:val="20"/>
        </w:rPr>
        <w:t xml:space="preserve">  Step 3  </w:t>
      </w:r>
      <w:r>
        <w:rPr>
          <w:color w:val="1A2438"/>
          <w:sz w:val="20"/>
        </w:rPr>
        <w:t>For each partition: SHA-256(group_hash_1 ║ group_hash_2 ║ … ║ group_hash_N)  =  PartitionRoot</w:t>
      </w:r>
    </w:p>
    <w:p>
      <w:pPr>
        <w:spacing w:before="40" w:after="40"/>
      </w:pPr>
      <w:r>
        <w:rPr>
          <w:b/>
          <w:color w:val="00D4FF"/>
          <w:sz w:val="20"/>
        </w:rPr>
        <w:t xml:space="preserve">  Step 4  </w:t>
      </w:r>
      <w:r>
        <w:rPr>
          <w:color w:val="1A2438"/>
          <w:sz w:val="20"/>
        </w:rPr>
        <w:t>Table root: SHA-256(sorted partition_roots)  — stable regardless of processing order</w:t>
      </w:r>
    </w:p>
    <w:p>
      <w:pPr>
        <w:spacing w:before="0" w:after="100"/>
      </w:pPr>
      <w:r>
        <w:rPr>
          <w:color w:val="1A2438"/>
          <w:sz w:val="21"/>
        </w:rPr>
        <w:br/>
        <w:t>The canonical form function ensures consistent representation across databases: Decimal('1.500') → b'1.5', Oracle DATE + time → UTC ISO-8601, NULL → b'\x00', empty string → b'' (distinct from NULL). This is the function that makes cross-database comparison possible.</w:t>
      </w:r>
    </w:p>
    <w:p>
      <w:pPr>
        <w:spacing w:before="240" w:after="80"/>
      </w:pPr>
      <w:r>
        <w:rPr>
          <w:b/>
          <w:color w:val="0074D9"/>
          <w:sz w:val="26"/>
        </w:rPr>
        <w:t>8.3  Dual Inline Hashing — Zero Extra I/O</w:t>
      </w:r>
    </w:p>
    <w:p>
      <w:pPr>
        <w:spacing w:before="0" w:after="100"/>
      </w:pPr>
      <w:r>
        <w:rPr>
          <w:color w:val="1A2438"/>
          <w:sz w:val="21"/>
        </w:rPr>
        <w:t>A naive implementation would read source data twice: once for migration, once for hashing. DBMigrateAIPro uses dual inline hashing: both the source hash and target hash are computed in the same COPY loop iteration, on the same Python batch object, before and after the PG COPY write. One Oracle read. Zero extra I/O. Zero extra time.</w:t>
      </w:r>
    </w:p>
    <w:p>
      <w:pPr>
        <w:spacing w:before="240" w:after="80"/>
      </w:pPr>
      <w:r>
        <w:rPr>
          <w:b/>
          <w:color w:val="0074D9"/>
          <w:sz w:val="26"/>
        </w:rPr>
        <w:t>8.4  Output: compare_report.html + JSON</w:t>
      </w:r>
    </w:p>
    <w:p>
      <w:pPr>
        <w:spacing w:before="0" w:after="100"/>
      </w:pPr>
      <w:r>
        <w:rPr>
          <w:color w:val="1A2438"/>
          <w:sz w:val="21"/>
        </w:rPr>
        <w:t>Every migration with Merkle enabled writes to the project's 05_validation/ folder:</w:t>
      </w:r>
    </w:p>
    <w:p>
      <w:pPr>
        <w:pStyle w:val="ListBullet"/>
        <w:spacing w:before="0" w:after="60"/>
      </w:pPr>
      <w:r>
        <w:rPr>
          <w:b/>
          <w:color w:val="0074D9"/>
          <w:sz w:val="21"/>
        </w:rPr>
        <w:t xml:space="preserve">source_roots.json  —  </w:t>
      </w:r>
      <w:r>
        <w:rPr>
          <w:color w:val="1A2438"/>
          <w:sz w:val="21"/>
        </w:rPr>
        <w:t>List of per-partition PartitionRoot objects from the source, with chunk_id, row_count, merkle_root, and computed_at timestamp.</w:t>
      </w:r>
    </w:p>
    <w:p>
      <w:pPr>
        <w:pStyle w:val="ListBullet"/>
        <w:spacing w:before="0" w:after="60"/>
      </w:pPr>
      <w:r>
        <w:rPr>
          <w:b/>
          <w:color w:val="0074D9"/>
          <w:sz w:val="21"/>
        </w:rPr>
        <w:t xml:space="preserve">target_roots.json  —  </w:t>
      </w:r>
      <w:r>
        <w:rPr>
          <w:color w:val="1A2438"/>
          <w:sz w:val="21"/>
        </w:rPr>
        <w:t>Same structure for the target.</w:t>
      </w:r>
    </w:p>
    <w:p>
      <w:pPr>
        <w:pStyle w:val="ListBullet"/>
        <w:spacing w:before="0" w:after="60"/>
      </w:pPr>
      <w:r>
        <w:rPr>
          <w:b/>
          <w:color w:val="0074D9"/>
          <w:sz w:val="21"/>
        </w:rPr>
        <w:t xml:space="preserve">compare_report.json  —  </w:t>
      </w:r>
      <w:r>
        <w:rPr>
          <w:color w:val="1A2438"/>
          <w:sz w:val="21"/>
        </w:rPr>
        <w:t>Machine-readable comparison: match: true/false, per-partition results, table-level root hashes, elapsed time.</w:t>
      </w:r>
    </w:p>
    <w:p>
      <w:pPr>
        <w:pStyle w:val="ListBullet"/>
        <w:spacing w:before="0" w:after="60"/>
      </w:pPr>
      <w:r>
        <w:rPr>
          <w:b/>
          <w:color w:val="0074D9"/>
          <w:sz w:val="21"/>
        </w:rPr>
        <w:t xml:space="preserve">compare_report.html  —  </w:t>
      </w:r>
      <w:r>
        <w:rPr>
          <w:color w:val="1A2438"/>
          <w:sz w:val="21"/>
        </w:rPr>
        <w:t>Self-contained human report: green/red banner, per-partition grid, drill-down links to divergence CSV for mismatched partitions.</w:t>
      </w:r>
    </w:p>
    <w:tbl>
      <w:tblPr>
        <w:tblW w:type="auto" w:w="0"/>
        <w:jc w:val="center"/>
        <w:tblLook w:firstColumn="1" w:firstRow="1" w:lastColumn="0" w:lastRow="0" w:noHBand="0" w:noVBand="1" w:val="04A0"/>
      </w:tblPr>
      <w:tblGrid>
        <w:gridCol w:w="9072"/>
      </w:tblGrid>
      <w:tr>
        <w:tc>
          <w:tcPr>
            <w:tcW w:type="dxa" w:w="9072"/>
            <w:shd w:val="clear" w:color="auto" w:fill="E8F9EE"/>
            <w:tcBorders>
              <w:top w:val="single" w:sz="4" w:space="0" w:color="2DBA6E"/>
              <w:left w:val="single" w:sz="4" w:space="0" w:color="2DBA6E"/>
              <w:bottom w:val="single" w:sz="4" w:space="0" w:color="2DBA6E"/>
              <w:right w:val="single" w:sz="4" w:space="0" w:color="2DBA6E"/>
            </w:tcBorders>
          </w:tcPr>
          <w:p>
            <w:pPr>
              <w:jc w:val="left"/>
              <w:spacing w:before="0" w:after="40"/>
            </w:pPr>
            <w:r>
              <w:rPr>
                <w:b/>
                <w:color w:val="1A8048"/>
                <w:sz w:val="21"/>
              </w:rPr>
              <w:t>▸  How to Present This to an Auditor</w:t>
            </w:r>
          </w:p>
          <w:p>
            <w:pPr>
              <w:spacing w:before="0" w:after="40"/>
            </w:pPr>
            <w:r>
              <w:rPr>
                <w:color w:val="1A2438"/>
                <w:sz w:val="20"/>
              </w:rPr>
              <w:t>Open compare_report.html in a browser. Show the green '✓ MATCH' banner.</w:t>
            </w:r>
          </w:p>
          <w:p>
            <w:pPr>
              <w:spacing w:before="0" w:after="40"/>
            </w:pPr>
            <w:r>
              <w:rPr>
                <w:color w:val="1A2438"/>
                <w:sz w:val="20"/>
              </w:rPr>
              <w:t>The report shows: X partitions verified, X source rows, X target rows, table-level hash match.</w:t>
            </w:r>
          </w:p>
          <w:p>
            <w:pPr>
              <w:spacing w:before="0" w:after="40"/>
            </w:pPr>
            <w:r>
              <w:rPr>
                <w:color w:val="1A2438"/>
                <w:sz w:val="20"/>
              </w:rPr>
              <w:t>The table-level Merkle root is a 64-character SHA-256 hex string that is mathematically</w:t>
            </w:r>
          </w:p>
          <w:p>
            <w:pPr>
              <w:spacing w:before="0" w:after="40"/>
            </w:pPr>
            <w:r>
              <w:rPr>
                <w:color w:val="1A2438"/>
                <w:sz w:val="20"/>
              </w:rPr>
              <w:t>impossible to fake — any single altered row produces a completely different root.</w:t>
            </w:r>
          </w:p>
          <w:p>
            <w:pPr>
              <w:spacing w:before="0" w:after="40"/>
            </w:pPr>
            <w:r>
              <w:rPr>
                <w:color w:val="1A2438"/>
                <w:sz w:val="20"/>
              </w:rPr>
              <w:t>Hand the JSON file to your compliance team. It is fully auditable and replayable.</w:t>
            </w:r>
          </w:p>
        </w:tc>
      </w:tr>
    </w:tbl>
    <w:p/>
    <w:p>
      <w:r>
        <w:br w:type="page"/>
      </w:r>
    </w:p>
    <w:p>
      <w:pPr>
        <w:jc w:val="left"/>
        <w:spacing w:before="360" w:after="160"/>
        <w:pBdr>
          <w:bottom w:val="single" w:sz="6" w:space="4" w:color="0074D9"/>
        </w:pBdr>
      </w:pPr>
      <w:r>
        <w:rPr>
          <w:b/>
          <w:color w:val="0A182E"/>
          <w:sz w:val="36"/>
        </w:rPr>
        <w:t>Chapter 9  ·  The Gap Report &amp; Migration Advisor</w:t>
      </w:r>
    </w:p>
    <w:p>
      <w:pPr>
        <w:spacing w:before="0" w:after="100"/>
      </w:pPr>
      <w:r>
        <w:rPr>
          <w:color w:val="1A2438"/>
          <w:sz w:val="21"/>
        </w:rPr>
        <w:t>The 95/5 principle: 95% of a typical Oracle-to-PostgreSQL migration can be automated. The remaining 5% — the PL/SQL constructs without direct equivalents, the application SQL relying on Oracle semantics, the operational tooling that needs redesign — requires human judgment. DBMigrateAIPro's Gap Report makes that 5% visible, ranked, and actionable.</w:t>
      </w:r>
    </w:p>
    <w:p>
      <w:pPr>
        <w:spacing w:before="240" w:after="80"/>
      </w:pPr>
      <w:r>
        <w:rPr>
          <w:b/>
          <w:color w:val="0074D9"/>
          <w:sz w:val="26"/>
        </w:rPr>
        <w:t>9.1  Gap Report Structure</w:t>
      </w:r>
    </w:p>
    <w:p>
      <w:pPr>
        <w:spacing w:before="60" w:after="40"/>
      </w:pPr>
      <w:r>
        <w:rPr>
          <w:b/>
          <w:color w:val="0A182E"/>
          <w:sz w:val="21"/>
        </w:rPr>
        <w:t xml:space="preserve">  ▸  Schema Compatibility  —  </w:t>
      </w:r>
      <w:r>
        <w:rPr>
          <w:color w:val="1A2438"/>
          <w:sz w:val="21"/>
        </w:rPr>
        <w:t>Type traps detected, constraint dialect differences, partitioning gaps, synonym replacements needed.</w:t>
      </w:r>
    </w:p>
    <w:p>
      <w:pPr>
        <w:spacing w:before="60" w:after="40"/>
      </w:pPr>
      <w:r>
        <w:rPr>
          <w:b/>
          <w:color w:val="0A182E"/>
          <w:sz w:val="21"/>
        </w:rPr>
        <w:t xml:space="preserve">  ▸  PL/SQL Conversion  —  </w:t>
      </w:r>
      <w:r>
        <w:rPr>
          <w:color w:val="1A2438"/>
          <w:sz w:val="21"/>
        </w:rPr>
        <w:t>Objects auto-converted, objects with advisor warnings, objects requiring manual intervention — each with specific guidance.</w:t>
      </w:r>
    </w:p>
    <w:p>
      <w:pPr>
        <w:spacing w:before="60" w:after="40"/>
      </w:pPr>
      <w:r>
        <w:rPr>
          <w:b/>
          <w:color w:val="0A182E"/>
          <w:sz w:val="21"/>
        </w:rPr>
        <w:t xml:space="preserve">  ▸  Function Translation  —  </w:t>
      </w:r>
      <w:r>
        <w:rPr>
          <w:color w:val="1A2438"/>
          <w:sz w:val="21"/>
        </w:rPr>
        <w:t>Every Oracle built-in function found in PL/SQL code, mapped to its PostgreSQL equivalent or flagged for manual replacement.</w:t>
      </w:r>
    </w:p>
    <w:p>
      <w:pPr>
        <w:spacing w:before="60" w:after="40"/>
      </w:pPr>
      <w:r>
        <w:rPr>
          <w:b/>
          <w:color w:val="0A182E"/>
          <w:sz w:val="21"/>
        </w:rPr>
        <w:t xml:space="preserve">  ▸  Application SQL  —  </w:t>
      </w:r>
      <w:r>
        <w:rPr>
          <w:color w:val="1A2438"/>
          <w:sz w:val="21"/>
        </w:rPr>
        <w:t>ROWNUM, CONNECT BY, (+) join syntax, NVL/DECODE patterns detected in application code (if source files are provided).</w:t>
      </w:r>
    </w:p>
    <w:p>
      <w:pPr>
        <w:spacing w:before="60" w:after="40"/>
      </w:pPr>
      <w:r>
        <w:rPr>
          <w:b/>
          <w:color w:val="0A182E"/>
          <w:sz w:val="21"/>
        </w:rPr>
        <w:t xml:space="preserve">  ▸  Operational Gaps  —  </w:t>
      </w:r>
      <w:r>
        <w:rPr>
          <w:color w:val="1A2438"/>
          <w:sz w:val="21"/>
        </w:rPr>
        <w:t>Oracle-specific tools referenced: RMAN → pgBackRest, AWR → pg_stat_statements, OEM → pgBadger, DBMS_STATS → ANALYZE.</w:t>
      </w:r>
    </w:p>
    <w:p>
      <w:pPr>
        <w:spacing w:before="60" w:after="40"/>
      </w:pPr>
      <w:r>
        <w:rPr>
          <w:b/>
          <w:color w:val="0A182E"/>
          <w:sz w:val="21"/>
        </w:rPr>
        <w:t xml:space="preserve">  ▸  Estimated Effort  —  </w:t>
      </w:r>
      <w:r>
        <w:rPr>
          <w:color w:val="1A2438"/>
          <w:sz w:val="21"/>
        </w:rPr>
        <w:t>Per-object complexity score, total estimated person-days for manual work, by object type.</w:t>
      </w:r>
    </w:p>
    <w:p>
      <w:pPr>
        <w:spacing w:before="240" w:after="80"/>
      </w:pPr>
      <w:r>
        <w:rPr>
          <w:b/>
          <w:color w:val="0074D9"/>
          <w:sz w:val="26"/>
        </w:rPr>
        <w:t>9.2  What the Advisor Does That ora2pg Cannot</w:t>
      </w:r>
    </w:p>
    <w:tbl>
      <w:tblPr>
        <w:tblStyle w:val="TableGrid"/>
        <w:tblW w:type="auto" w:w="0"/>
        <w:jc w:val="center"/>
        <w:tblLook w:firstColumn="1" w:firstRow="1" w:lastColumn="0" w:lastRow="0" w:noHBand="0" w:noVBand="1" w:val="04A0"/>
      </w:tblPr>
      <w:tblGrid>
        <w:gridCol w:w="2268"/>
        <w:gridCol w:w="2268"/>
        <w:gridCol w:w="2268"/>
        <w:gridCol w:w="2268"/>
      </w:tblGrid>
      <w:tr>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Capability</w:t>
            </w:r>
          </w:p>
        </w:tc>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ora2pg</w:t>
            </w:r>
          </w:p>
        </w:tc>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AWS SCT</w:t>
            </w:r>
          </w:p>
        </w:tc>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DBMigrateAIPro Advisor</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Object inventory</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 risk-ranked</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Complexity score per object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(basic)</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(basic)</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 specific fix guidance</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DATE → TIMESTAMP trap detection</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FFB547"/>
                <w:sz w:val="19"/>
              </w:rPr>
              <w:t>⚠ Partial</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FFB547"/>
                <w:sz w:val="19"/>
              </w:rPr>
              <w:t>⚠ Partial</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Auto-fixed</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Empty-string = NULL flag</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FFB547"/>
                <w:sz w:val="19"/>
              </w:rPr>
              <w:t>⚠ Note only</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With code location</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BULK COLLECT rewrite suggestion</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FFB547"/>
                <w:sz w:val="19"/>
              </w:rPr>
              <w:t>⚠ Flag only</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Set-based SQL generated</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Compound trigger simplification</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Auto-detects ORA-04091 workarounds</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Interval partitioning workaround</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pg_partman script generated</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pg_stat_user_indexes post-migration</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Unused index report generated</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Effort estimate in person-hours</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(rough)</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(rough)</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Per-object, by type</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Post-migration performance tuning</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NUMERIC column audit</w:t>
            </w:r>
          </w:p>
        </w:tc>
      </w:tr>
    </w:tbl>
    <w:p/>
    <w:p>
      <w:r>
        <w:br w:type="page"/>
      </w:r>
    </w:p>
    <w:p>
      <w:pPr>
        <w:jc w:val="left"/>
        <w:spacing w:before="360" w:after="160"/>
        <w:pBdr>
          <w:bottom w:val="single" w:sz="6" w:space="4" w:color="0074D9"/>
        </w:pBdr>
      </w:pPr>
      <w:r>
        <w:rPr>
          <w:b/>
          <w:color w:val="0A182E"/>
          <w:sz w:val="36"/>
        </w:rPr>
        <w:t>Chapter 10  ·  Migration Scenarios — Every Source/Target Combination</w:t>
      </w:r>
    </w:p>
    <w:p>
      <w:pPr>
        <w:spacing w:before="240" w:after="80"/>
      </w:pPr>
      <w:r>
        <w:rPr>
          <w:b/>
          <w:color w:val="0074D9"/>
          <w:sz w:val="26"/>
        </w:rPr>
        <w:t>10.1  Supported Source Databases</w:t>
      </w:r>
    </w:p>
    <w:p>
      <w:pPr>
        <w:spacing w:before="0" w:after="100"/>
      </w:pPr>
      <w:r>
        <w:rPr>
          <w:color w:val="1A2438"/>
          <w:sz w:val="21"/>
        </w:rPr>
        <w:t>DBMigrateAIPro is not limited to Oracle. It supports migrations from the following source databases to any PostgreSQL-compatible target:</w:t>
      </w:r>
    </w:p>
    <w:p>
      <w:pPr>
        <w:pStyle w:val="ListBullet"/>
        <w:spacing w:before="0" w:after="60"/>
      </w:pPr>
      <w:r>
        <w:rPr>
          <w:color w:val="1A2438"/>
          <w:sz w:val="21"/>
        </w:rPr>
        <w:t>Oracle (11g, 12c, 18c, 19c, 21c)</w:t>
      </w:r>
    </w:p>
    <w:p>
      <w:pPr>
        <w:pStyle w:val="ListBullet"/>
        <w:spacing w:before="0" w:after="60"/>
      </w:pPr>
      <w:r>
        <w:rPr>
          <w:color w:val="1A2438"/>
          <w:sz w:val="21"/>
        </w:rPr>
        <w:t>PostgreSQL (any version → any version, including major-version upgrades)</w:t>
      </w:r>
    </w:p>
    <w:p>
      <w:pPr>
        <w:pStyle w:val="ListBullet"/>
        <w:spacing w:before="0" w:after="60"/>
      </w:pPr>
      <w:r>
        <w:rPr>
          <w:color w:val="1A2438"/>
          <w:sz w:val="21"/>
        </w:rPr>
        <w:t>MySQL 5.7+ and MariaDB 10.3+</w:t>
      </w:r>
    </w:p>
    <w:p>
      <w:pPr>
        <w:pStyle w:val="ListBullet"/>
        <w:spacing w:before="0" w:after="60"/>
      </w:pPr>
      <w:r>
        <w:rPr>
          <w:color w:val="1A2438"/>
          <w:sz w:val="21"/>
        </w:rPr>
        <w:t>Microsoft SQL Server (2012 and later)</w:t>
      </w:r>
    </w:p>
    <w:p>
      <w:pPr>
        <w:pStyle w:val="ListBullet"/>
        <w:spacing w:before="0" w:after="60"/>
      </w:pPr>
      <w:r>
        <w:rPr>
          <w:color w:val="1A2438"/>
          <w:sz w:val="21"/>
        </w:rPr>
        <w:t>Snowflake</w:t>
      </w:r>
    </w:p>
    <w:p>
      <w:pPr>
        <w:pStyle w:val="ListBullet"/>
        <w:spacing w:before="0" w:after="60"/>
      </w:pPr>
      <w:r>
        <w:rPr>
          <w:color w:val="1A2438"/>
          <w:sz w:val="21"/>
        </w:rPr>
        <w:t>SQLite</w:t>
      </w:r>
    </w:p>
    <w:p>
      <w:pPr>
        <w:pStyle w:val="ListBullet"/>
        <w:spacing w:before="0" w:after="60"/>
      </w:pPr>
      <w:r>
        <w:rPr>
          <w:color w:val="1A2438"/>
          <w:sz w:val="21"/>
        </w:rPr>
        <w:t>Sybase ASE</w:t>
      </w:r>
    </w:p>
    <w:p>
      <w:pPr>
        <w:pStyle w:val="ListBullet"/>
        <w:spacing w:before="0" w:after="60"/>
      </w:pPr>
      <w:r>
        <w:rPr>
          <w:color w:val="1A2438"/>
          <w:sz w:val="21"/>
        </w:rPr>
        <w:t>MongoDB (document → relational mapping)</w:t>
      </w:r>
    </w:p>
    <w:p>
      <w:pPr>
        <w:pStyle w:val="ListBullet"/>
        <w:spacing w:before="0" w:after="60"/>
      </w:pPr>
      <w:r>
        <w:rPr>
          <w:color w:val="1A2438"/>
          <w:sz w:val="21"/>
        </w:rPr>
        <w:t>Elasticsearch (index → table mapping)</w:t>
      </w:r>
    </w:p>
    <w:p>
      <w:pPr>
        <w:pStyle w:val="ListBullet"/>
        <w:spacing w:before="0" w:after="60"/>
      </w:pPr>
      <w:r>
        <w:rPr>
          <w:color w:val="1A2438"/>
          <w:sz w:val="21"/>
        </w:rPr>
        <w:t>Amazon DynamoDB (NoSQL → relational mapping)</w:t>
      </w:r>
    </w:p>
    <w:p>
      <w:pPr>
        <w:pStyle w:val="ListBullet"/>
        <w:spacing w:before="0" w:after="60"/>
      </w:pPr>
      <w:r>
        <w:rPr>
          <w:color w:val="1A2438"/>
          <w:sz w:val="21"/>
        </w:rPr>
        <w:t>Redis (key-value → structured table mapping)</w:t>
      </w:r>
    </w:p>
    <w:p>
      <w:pPr>
        <w:pStyle w:val="ListBullet"/>
        <w:spacing w:before="0" w:after="60"/>
      </w:pPr>
      <w:r>
        <w:rPr>
          <w:color w:val="1A2438"/>
          <w:sz w:val="21"/>
        </w:rPr>
        <w:t>BigQuery</w:t>
      </w:r>
    </w:p>
    <w:p>
      <w:pPr>
        <w:spacing w:before="240" w:after="80"/>
      </w:pPr>
      <w:r>
        <w:rPr>
          <w:b/>
          <w:color w:val="0074D9"/>
          <w:sz w:val="26"/>
        </w:rPr>
        <w:t>10.2  Scenario Matrix</w:t>
      </w:r>
    </w:p>
    <w:tbl>
      <w:tblPr>
        <w:tblStyle w:val="TableGrid"/>
        <w:tblW w:type="auto" w:w="0"/>
        <w:jc w:val="center"/>
        <w:tblLook w:firstColumn="1" w:firstRow="1" w:lastColumn="0" w:lastRow="0" w:noHBand="0" w:noVBand="1" w:val="04A0"/>
      </w:tblPr>
      <w:tblGrid>
        <w:gridCol w:w="2268"/>
        <w:gridCol w:w="2268"/>
        <w:gridCol w:w="2268"/>
        <w:gridCol w:w="2268"/>
      </w:tblGrid>
      <w:tr>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Source</w:t>
            </w:r>
          </w:p>
        </w:tc>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Target</w:t>
            </w:r>
          </w:p>
        </w:tc>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Method</w:t>
            </w:r>
          </w:p>
        </w:tc>
        <w:tc>
          <w:tcPr>
            <w:tcW w:type="dxa" w:w="2268"/>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DBMigrateAIPro Support</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Oracle on-prem</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PG on-prem</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Bulk + optional CDC</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Full — Flash Pipe + Merkle</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Oracle on-prem</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AWS RDS PG</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Bulk + CDC</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Full — direct network connection</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Oracle on-prem</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Aurora PG</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Bulk + CDC</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Full</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Oracle on-prem</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Azure DB PG</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Bulk + CDC</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Full</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Oracle on-prem</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GCP Cloud SQL PG</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Bulk + CDC</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Full</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Oracle RDS</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PG RDS</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Bulk + CDC</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Full</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Oracle Cloud</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Supabase / Neon</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Bulk</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Full</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MySQL</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PostgreSQL</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Bulk</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Full — type mapping handled</w:t>
            </w:r>
          </w:p>
        </w:tc>
      </w:tr>
      <w:tr>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SQL Server</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PostgreSQL</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Bulk</w:t>
            </w:r>
          </w:p>
        </w:tc>
        <w:tc>
          <w:tcPr>
            <w:tcW w:type="dxa" w:w="2268"/>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Full</w:t>
            </w:r>
          </w:p>
        </w:tc>
      </w:tr>
      <w:tr>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PostgreSQL</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PostgreSQL</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Bulk</w:t>
            </w:r>
          </w:p>
        </w:tc>
        <w:tc>
          <w:tcPr>
            <w:tcW w:type="dxa" w:w="2268"/>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Version upgrade path</w:t>
            </w:r>
          </w:p>
        </w:tc>
      </w:tr>
    </w:tbl>
    <w:p/>
    <w:p>
      <w:pPr>
        <w:spacing w:before="240" w:after="80"/>
      </w:pPr>
      <w:r>
        <w:rPr>
          <w:b/>
          <w:color w:val="0074D9"/>
          <w:sz w:val="26"/>
        </w:rPr>
        <w:t>10.3  Online Migration (Zero Downtime) — Step by Step</w:t>
      </w:r>
    </w:p>
    <w:p>
      <w:pPr>
        <w:spacing w:before="60" w:after="40"/>
      </w:pPr>
      <w:r>
        <w:rPr>
          <w:b/>
          <w:color w:val="0A182E"/>
          <w:sz w:val="21"/>
        </w:rPr>
        <w:t xml:space="preserve">  1.  Assessment  —  </w:t>
      </w:r>
      <w:r>
        <w:rPr>
          <w:color w:val="1A2438"/>
          <w:sz w:val="20"/>
        </w:rPr>
        <w:t>Run Object Browser scan. Review Gap Report. Fix advisor warnings in schema.</w:t>
      </w:r>
    </w:p>
    <w:p>
      <w:pPr>
        <w:spacing w:before="60" w:after="40"/>
      </w:pPr>
      <w:r>
        <w:rPr>
          <w:b/>
          <w:color w:val="0A182E"/>
          <w:sz w:val="21"/>
        </w:rPr>
        <w:t xml:space="preserve">  2.  Initial Load  —  </w:t>
      </w:r>
      <w:r>
        <w:rPr>
          <w:color w:val="1A2438"/>
          <w:sz w:val="20"/>
        </w:rPr>
        <w:t>Start Flash Direct Pipe migration with CDC enabled. Oracle source continues to accept writes.</w:t>
      </w:r>
    </w:p>
    <w:p>
      <w:pPr>
        <w:spacing w:before="60" w:after="40"/>
      </w:pPr>
      <w:r>
        <w:rPr>
          <w:b/>
          <w:color w:val="0A182E"/>
          <w:sz w:val="21"/>
        </w:rPr>
        <w:t xml:space="preserve">  3.  CDC Sync  —  </w:t>
      </w:r>
      <w:r>
        <w:rPr>
          <w:color w:val="1A2438"/>
          <w:sz w:val="20"/>
        </w:rPr>
        <w:t>DBMigrateAIPro captures all changes made to Oracle during and after the initial load via LogMiner.</w:t>
      </w:r>
    </w:p>
    <w:p>
      <w:pPr>
        <w:spacing w:before="60" w:after="40"/>
      </w:pPr>
      <w:r>
        <w:rPr>
          <w:b/>
          <w:color w:val="0A182E"/>
          <w:sz w:val="21"/>
        </w:rPr>
        <w:t xml:space="preserve">  4.  Validation  —  </w:t>
      </w:r>
      <w:r>
        <w:rPr>
          <w:color w:val="1A2438"/>
          <w:sz w:val="20"/>
        </w:rPr>
        <w:t>Run Merkle validation against the loaded data. Verify compare_report.html shows ✓ MATCH.</w:t>
      </w:r>
    </w:p>
    <w:p>
      <w:pPr>
        <w:spacing w:before="60" w:after="40"/>
      </w:pPr>
      <w:r>
        <w:rPr>
          <w:b/>
          <w:color w:val="0A182E"/>
          <w:sz w:val="21"/>
        </w:rPr>
        <w:t xml:space="preserve">  5.  Lag Monitoring  —  </w:t>
      </w:r>
      <w:r>
        <w:rPr>
          <w:color w:val="1A2438"/>
          <w:sz w:val="20"/>
        </w:rPr>
        <w:t>Watch the CDC panel. Wait for replication lag to reach &lt; 1 second.</w:t>
      </w:r>
    </w:p>
    <w:p>
      <w:pPr>
        <w:spacing w:before="60" w:after="40"/>
      </w:pPr>
      <w:r>
        <w:rPr>
          <w:b/>
          <w:color w:val="0A182E"/>
          <w:sz w:val="21"/>
        </w:rPr>
        <w:t xml:space="preserve">  6.  Cutover  —  </w:t>
      </w:r>
      <w:r>
        <w:rPr>
          <w:color w:val="1A2438"/>
          <w:sz w:val="20"/>
        </w:rPr>
        <w:t>Switch application connection string to PostgreSQL. Duration: seconds.</w:t>
      </w:r>
    </w:p>
    <w:p>
      <w:pPr>
        <w:spacing w:before="60" w:after="40"/>
      </w:pPr>
      <w:r>
        <w:rPr>
          <w:b/>
          <w:color w:val="0A182E"/>
          <w:sz w:val="21"/>
        </w:rPr>
        <w:t xml:space="preserve">  7.  Post-Cutover  —  </w:t>
      </w:r>
      <w:r>
        <w:rPr>
          <w:color w:val="1A2438"/>
          <w:sz w:val="20"/>
        </w:rPr>
        <w:t>Run row-count validation. Keep CDC running for 24 hours as safety net. Disable CDC once confident.</w:t>
      </w:r>
    </w:p>
    <w:p>
      <w:r>
        <w:br w:type="page"/>
      </w:r>
    </w:p>
    <w:p>
      <w:pPr>
        <w:jc w:val="left"/>
        <w:spacing w:before="360" w:after="160"/>
        <w:pBdr>
          <w:bottom w:val="single" w:sz="6" w:space="4" w:color="0074D9"/>
        </w:pBdr>
      </w:pPr>
      <w:r>
        <w:rPr>
          <w:b/>
          <w:color w:val="0A182E"/>
          <w:sz w:val="36"/>
        </w:rPr>
        <w:t>Chapter 11  ·  DBMigrateAIPro vs The Competition</w:t>
      </w:r>
    </w:p>
    <w:p>
      <w:pPr>
        <w:spacing w:before="240" w:after="80"/>
      </w:pPr>
      <w:r>
        <w:rPr>
          <w:b/>
          <w:color w:val="0074D9"/>
          <w:sz w:val="26"/>
        </w:rPr>
        <w:t>11.1  The Complete Comparison Table</w:t>
      </w:r>
    </w:p>
    <w:tbl>
      <w:tblPr>
        <w:tblStyle w:val="TableGrid"/>
        <w:tblW w:type="auto" w:w="0"/>
        <w:jc w:val="center"/>
        <w:tblLook w:firstColumn="1" w:firstRow="1" w:lastColumn="0" w:lastRow="0" w:noHBand="0" w:noVBand="1" w:val="04A0"/>
      </w:tblPr>
      <w:tblGrid>
        <w:gridCol w:w="1512"/>
        <w:gridCol w:w="1512"/>
        <w:gridCol w:w="1512"/>
        <w:gridCol w:w="1512"/>
        <w:gridCol w:w="1512"/>
        <w:gridCol w:w="1512"/>
      </w:tblGrid>
      <w:tr>
        <w:tc>
          <w:tcPr>
            <w:tcW w:type="dxa" w:w="1512"/>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Feature</w:t>
            </w:r>
          </w:p>
        </w:tc>
        <w:tc>
          <w:tcPr>
            <w:tcW w:type="dxa" w:w="1512"/>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ora2pg</w:t>
            </w:r>
          </w:p>
        </w:tc>
        <w:tc>
          <w:tcPr>
            <w:tcW w:type="dxa" w:w="1512"/>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AWS SCT/DMS</w:t>
            </w:r>
          </w:p>
        </w:tc>
        <w:tc>
          <w:tcPr>
            <w:tcW w:type="dxa" w:w="1512"/>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GoldenGate</w:t>
            </w:r>
          </w:p>
        </w:tc>
        <w:tc>
          <w:tcPr>
            <w:tcW w:type="dxa" w:w="1512"/>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EDB/Ispirer</w:t>
            </w:r>
          </w:p>
        </w:tc>
        <w:tc>
          <w:tcPr>
            <w:tcW w:type="dxa" w:w="1512"/>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DBMigrateAIPro</w:t>
            </w:r>
          </w:p>
        </w:tc>
      </w:tr>
      <w:tr>
        <w:tc>
          <w:tcPr>
            <w:tcW w:type="dxa" w:w="1512"/>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One-tool setup (no dependencies)</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Desktop GUI — no CLI required</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FFB547"/>
                <w:sz w:val="19"/>
              </w:rPr>
              <w:t>⚠ AWS console</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FFB547"/>
                <w:sz w:val="19"/>
              </w:rPr>
              <w:t>⚠ Limited</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Oracle type mapping (all types)</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FFB547"/>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FFB547"/>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FFB547"/>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DATE → TIMESTAMP auto-fix</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FFB547"/>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FFB547"/>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FFB547"/>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Flash Direct Pipe (3–5× speed)</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Parallel workers (32+)</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Checkpoint / resume on failure</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FFB547"/>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FFB547"/>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Retry single failed table</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PL/SQL auto-conversion</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FFB547"/>
                <w:sz w:val="19"/>
              </w:rPr>
              <w:t>⚠ Partial</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Compound trigger simplification</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Interval partition → pg_partman</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Gap Report (95/5 breakdown)</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FFB547"/>
                <w:sz w:val="19"/>
              </w:rPr>
              <w:t>⚠ Basic</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Effort estimate per object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FFB547"/>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FFB547"/>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CDC — built-in (no extra product)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(DMS)</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 ($$$$)</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Merkle-tree cryptographic validation</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w:t>
            </w:r>
          </w:p>
        </w:tc>
      </w:tr>
      <w:tr>
        <w:tc>
          <w:tcPr>
            <w:tcW w:type="dxa" w:w="1512"/>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compare_report.html audit output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Differential re-run (changed rows only)</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 (v1.1.1)</w:t>
            </w:r>
          </w:p>
        </w:tc>
      </w:tr>
      <w:tr>
        <w:tc>
          <w:tcPr>
            <w:tcW w:type="dxa" w:w="1512"/>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Live monitoring HUD overlay</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Rollback engine with snapshots</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Multi-source (MySQL, MSSQL, Mongo…)</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FFB547"/>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FFB547"/>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1512"/>
            <w:shd w:val="clear" w:color="auto" w:fill="FFFF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r>
      <w:tr>
        <w:tc>
          <w:tcPr>
            <w:tcW w:type="dxa" w:w="1512"/>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Open source / no licence fee</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2DBA6E"/>
                <w:sz w:val="19"/>
              </w:rPr>
              <w:t>✅</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 (pay/go)</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 ($$$$)</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pPr>
              <w:jc w:val="center"/>
            </w:pPr>
            <w:r>
              <w:rPr>
                <w:color w:val="E05C6A"/>
                <w:sz w:val="19"/>
              </w:rPr>
              <w:t>❌ ($$$$)</w:t>
            </w:r>
          </w:p>
        </w:tc>
        <w:tc>
          <w:tcPr>
            <w:tcW w:type="dxa" w:w="1512"/>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Freemium</w:t>
            </w:r>
          </w:p>
        </w:tc>
      </w:tr>
    </w:tbl>
    <w:p/>
    <w:p>
      <w:pPr>
        <w:spacing w:before="240" w:after="80"/>
      </w:pPr>
      <w:r>
        <w:rPr>
          <w:b/>
          <w:color w:val="0074D9"/>
          <w:sz w:val="26"/>
        </w:rPr>
        <w:t>11.2  The Honest Assessment</w:t>
      </w:r>
    </w:p>
    <w:p>
      <w:pPr>
        <w:spacing w:before="0" w:after="100"/>
      </w:pPr>
      <w:r>
        <w:rPr>
          <w:color w:val="1A2438"/>
          <w:sz w:val="21"/>
        </w:rPr>
        <w:t>ora2pg is free and mature. For simple Oracle → PostgreSQL migrations with experienced engineers who are comfortable with Perl scripts, config files, and manual SQL cleanup, it gets the job done. Its weaknesses are speed, no GUI, and no validation beyond row counts.</w:t>
      </w:r>
    </w:p>
    <w:p>
      <w:pPr>
        <w:spacing w:before="0" w:after="100"/>
      </w:pPr>
      <w:r>
        <w:rPr>
          <w:color w:val="1A2438"/>
          <w:sz w:val="21"/>
        </w:rPr>
        <w:t>AWS SCT + DMS is the correct choice if you are already deeply committed to AWS and need managed infrastructure. DMS has good CDC capabilities. Its weaknesses are cost (DMS charges per DRU), fragmented tooling (SCT and DMS are separate products), limited PL/SQL quality, and zero validation beyond row counts.</w:t>
      </w:r>
    </w:p>
    <w:p>
      <w:pPr>
        <w:spacing w:before="0" w:after="100"/>
      </w:pPr>
      <w:r>
        <w:rPr>
          <w:color w:val="1A2438"/>
          <w:sz w:val="21"/>
        </w:rPr>
        <w:t>GoldenGate is enterprise-grade CDC with Oracle expertise behind it. At $50K–$200K/year in licence costs, it is only justified for the largest organisations with dedicated replication infrastructure teams. It does not do schema migration, PL/SQL conversion, or data validation.</w:t>
      </w:r>
    </w:p>
    <w:tbl>
      <w:tblPr>
        <w:tblW w:type="auto" w:w="0"/>
        <w:jc w:val="center"/>
        <w:tblLook w:firstColumn="1" w:firstRow="1" w:lastColumn="0" w:lastRow="0" w:noHBand="0" w:noVBand="1" w:val="04A0"/>
      </w:tblPr>
      <w:tblGrid>
        <w:gridCol w:w="9072"/>
      </w:tblGrid>
      <w:tr>
        <w:tc>
          <w:tcPr>
            <w:tcW w:type="dxa" w:w="9072"/>
            <w:shd w:val="clear" w:color="auto" w:fill="E8F9EE"/>
            <w:tcBorders>
              <w:top w:val="single" w:sz="4" w:space="0" w:color="2DBA6E"/>
              <w:left w:val="single" w:sz="4" w:space="0" w:color="2DBA6E"/>
              <w:bottom w:val="single" w:sz="4" w:space="0" w:color="2DBA6E"/>
              <w:right w:val="single" w:sz="4" w:space="0" w:color="2DBA6E"/>
            </w:tcBorders>
          </w:tcPr>
          <w:p>
            <w:pPr>
              <w:jc w:val="left"/>
              <w:spacing w:before="0" w:after="40"/>
            </w:pPr>
            <w:r>
              <w:rPr>
                <w:b/>
                <w:color w:val="1A8048"/>
                <w:sz w:val="21"/>
              </w:rPr>
              <w:t>▸  When DBMigrateAIPro Wins on Every Dimension</w:t>
            </w:r>
          </w:p>
          <w:p>
            <w:pPr>
              <w:spacing w:before="0" w:after="40"/>
            </w:pPr>
            <w:r>
              <w:rPr>
                <w:color w:val="1A2438"/>
                <w:sz w:val="20"/>
              </w:rPr>
              <w:t>Speed: Flash Direct Pipe runs 3–5× faster than any other tool for bulk data migration.</w:t>
            </w:r>
          </w:p>
          <w:p>
            <w:pPr>
              <w:spacing w:before="0" w:after="40"/>
            </w:pPr>
            <w:r>
              <w:rPr>
                <w:color w:val="1A2438"/>
                <w:sz w:val="20"/>
              </w:rPr>
              <w:t>Completeness: One tool for schema + data + PL/SQL + CDC + validation. No tool-chain assembly.</w:t>
            </w:r>
          </w:p>
          <w:p>
            <w:pPr>
              <w:spacing w:before="0" w:after="40"/>
            </w:pPr>
            <w:r>
              <w:rPr>
                <w:color w:val="1A2438"/>
                <w:sz w:val="20"/>
              </w:rPr>
              <w:t>Correctness: Merkle-tree validation provides mathematical proof. No other tool can say this.</w:t>
            </w:r>
          </w:p>
          <w:p>
            <w:pPr>
              <w:spacing w:before="0" w:after="40"/>
            </w:pPr>
            <w:r>
              <w:rPr>
                <w:color w:val="1A2438"/>
                <w:sz w:val="20"/>
              </w:rPr>
              <w:t>Accessibility: Desktop GUI — no Perl, no Kafka, no AWS console, no CLI expertise required.</w:t>
            </w:r>
          </w:p>
          <w:p>
            <w:pPr>
              <w:spacing w:before="0" w:after="40"/>
            </w:pPr>
            <w:r>
              <w:rPr>
                <w:color w:val="1A2438"/>
                <w:sz w:val="20"/>
              </w:rPr>
              <w:t>Cost: Freemium model — Hobby tier is free. Pro is a fraction of GoldenGate or DMS at scale.</w:t>
            </w:r>
          </w:p>
        </w:tc>
      </w:tr>
    </w:tbl>
    <w:p/>
    <w:p>
      <w:r>
        <w:br w:type="page"/>
      </w:r>
    </w:p>
    <w:p>
      <w:pPr>
        <w:jc w:val="left"/>
        <w:spacing w:before="360" w:after="160"/>
        <w:pBdr>
          <w:bottom w:val="single" w:sz="6" w:space="4" w:color="0074D9"/>
        </w:pBdr>
      </w:pPr>
      <w:r>
        <w:rPr>
          <w:b/>
          <w:color w:val="0A182E"/>
          <w:sz w:val="36"/>
        </w:rPr>
        <w:t>Chapter 12  ·  The 10 Things Only DBMigrateAIPro Can Do</w:t>
      </w:r>
    </w:p>
    <w:p>
      <w:pPr>
        <w:spacing w:before="0" w:after="100"/>
      </w:pPr>
      <w:r>
        <w:rPr>
          <w:color w:val="1A2438"/>
          <w:sz w:val="21"/>
        </w:rPr>
        <w:t>Every competing tool has strengths. None of them ship these ten capabilities. This chapter is the sales argument, the differentiation claim, and the technical proof all in one.</w:t>
      </w:r>
    </w:p>
    <w:tbl>
      <w:tblPr>
        <w:tblW w:type="auto" w:w="0"/>
        <w:jc w:val="left"/>
        <w:tblLook w:firstColumn="1" w:firstRow="1" w:lastColumn="0" w:lastRow="0" w:noHBand="0" w:noVBand="1" w:val="04A0"/>
      </w:tblPr>
      <w:tblGrid>
        <w:gridCol w:w="4536"/>
        <w:gridCol w:w="4536"/>
      </w:tblGrid>
      <w:tr>
        <w:tc>
          <w:tcPr>
            <w:tcW w:type="dxa" w:w="850"/>
            <w:shd w:val="clear" w:color="auto" w:fill="2DBA6E"/>
          </w:tcPr>
          <w:p>
            <w:pPr>
              <w:jc w:val="center"/>
              <w:spacing w:before="120" w:after="120"/>
            </w:pPr>
            <w:r>
              <w:rPr>
                <w:b/>
                <w:color w:val="FFFFFF"/>
                <w:sz w:val="32"/>
              </w:rPr>
              <w:t>#1</w:t>
            </w:r>
          </w:p>
        </w:tc>
        <w:tc>
          <w:tcPr>
            <w:tcW w:type="dxa" w:w="4536"/>
            <w:shd w:val="clear" w:color="auto" w:fill="F8FAFF"/>
            <w:tcBorders>
              <w:top w:val="single" w:sz="4" w:space="0" w:color="2DBA6E"/>
              <w:left w:val="single" w:sz="4" w:space="0" w:color="2DBA6E"/>
              <w:bottom w:val="single" w:sz="4" w:space="0" w:color="2DBA6E"/>
              <w:right w:val="single" w:sz="4" w:space="0" w:color="2DBA6E"/>
            </w:tcBorders>
          </w:tcPr>
          <w:p>
            <w:pPr>
              <w:spacing w:before="80" w:after="40"/>
            </w:pPr>
            <w:r>
              <w:rPr>
                <w:b/>
                <w:color w:val="2DBA6E"/>
                <w:sz w:val="22"/>
              </w:rPr>
              <w:t>Merkle-Tree Cryptographic Validation</w:t>
            </w:r>
          </w:p>
          <w:p>
            <w:pPr>
              <w:spacing w:before="0" w:after="80"/>
            </w:pPr>
            <w:r>
              <w:rPr>
                <w:color w:val="1A2438"/>
                <w:sz w:val="19"/>
              </w:rPr>
              <w:t>Per-partition SHA-256 fingerprints computed on both source and target. Mathematical proof of data integrity — not just row counts. The compare_report.html provides an audit-ready, shareable proof document. No other migration tool — not DMS, not GoldenGate, not ora2pg — ships this.</w:t>
            </w:r>
          </w:p>
        </w:tc>
      </w:tr>
    </w:tbl>
    <w:p/>
    <w:tbl>
      <w:tblPr>
        <w:tblW w:type="auto" w:w="0"/>
        <w:jc w:val="left"/>
        <w:tblLook w:firstColumn="1" w:firstRow="1" w:lastColumn="0" w:lastRow="0" w:noHBand="0" w:noVBand="1" w:val="04A0"/>
      </w:tblPr>
      <w:tblGrid>
        <w:gridCol w:w="4536"/>
        <w:gridCol w:w="4536"/>
      </w:tblGrid>
      <w:tr>
        <w:tc>
          <w:tcPr>
            <w:tcW w:type="dxa" w:w="850"/>
            <w:shd w:val="clear" w:color="auto" w:fill="0074D9"/>
          </w:tcPr>
          <w:p>
            <w:pPr>
              <w:jc w:val="center"/>
              <w:spacing w:before="120" w:after="120"/>
            </w:pPr>
            <w:r>
              <w:rPr>
                <w:b/>
                <w:color w:val="FFFFFF"/>
                <w:sz w:val="32"/>
              </w:rPr>
              <w:t>#2</w:t>
            </w:r>
          </w:p>
        </w:tc>
        <w:tc>
          <w:tcPr>
            <w:tcW w:type="dxa" w:w="4536"/>
            <w:shd w:val="clear" w:color="auto" w:fill="F8FAFF"/>
            <w:tcBorders>
              <w:top w:val="single" w:sz="4" w:space="0" w:color="0074D9"/>
              <w:left w:val="single" w:sz="4" w:space="0" w:color="0074D9"/>
              <w:bottom w:val="single" w:sz="4" w:space="0" w:color="0074D9"/>
              <w:right w:val="single" w:sz="4" w:space="0" w:color="0074D9"/>
            </w:tcBorders>
          </w:tcPr>
          <w:p>
            <w:pPr>
              <w:spacing w:before="80" w:after="40"/>
            </w:pPr>
            <w:r>
              <w:rPr>
                <w:b/>
                <w:color w:val="0074D9"/>
                <w:sz w:val="22"/>
              </w:rPr>
              <w:t>Dual Inline Hashing — Zero Extra Oracle Read</w:t>
            </w:r>
          </w:p>
          <w:p>
            <w:pPr>
              <w:spacing w:before="0" w:after="80"/>
            </w:pPr>
            <w:r>
              <w:rPr>
                <w:color w:val="1A2438"/>
                <w:sz w:val="19"/>
              </w:rPr>
              <w:t>Source and target hashes are computed in the SAME COPY loop, on the same batch object. Zero extra database connections. Zero extra Oracle reads. No SourceHashPipe second pass. This is an architectural decision that took weeks to get right — and it means Merkle validation adds &lt;1% overhead to migration time.</w:t>
            </w:r>
          </w:p>
        </w:tc>
      </w:tr>
    </w:tbl>
    <w:p/>
    <w:tbl>
      <w:tblPr>
        <w:tblW w:type="auto" w:w="0"/>
        <w:jc w:val="left"/>
        <w:tblLook w:firstColumn="1" w:firstRow="1" w:lastColumn="0" w:lastRow="0" w:noHBand="0" w:noVBand="1" w:val="04A0"/>
      </w:tblPr>
      <w:tblGrid>
        <w:gridCol w:w="4536"/>
        <w:gridCol w:w="4536"/>
      </w:tblGrid>
      <w:tr>
        <w:tc>
          <w:tcPr>
            <w:tcW w:type="dxa" w:w="850"/>
            <w:shd w:val="clear" w:color="auto" w:fill="FF6B35"/>
          </w:tcPr>
          <w:p>
            <w:pPr>
              <w:jc w:val="center"/>
              <w:spacing w:before="120" w:after="120"/>
            </w:pPr>
            <w:r>
              <w:rPr>
                <w:b/>
                <w:color w:val="FFFFFF"/>
                <w:sz w:val="32"/>
              </w:rPr>
              <w:t>#3</w:t>
            </w:r>
          </w:p>
        </w:tc>
        <w:tc>
          <w:tcPr>
            <w:tcW w:type="dxa" w:w="4536"/>
            <w:shd w:val="clear" w:color="auto" w:fill="F8FAFF"/>
            <w:tcBorders>
              <w:top w:val="single" w:sz="4" w:space="0" w:color="FF6B35"/>
              <w:left w:val="single" w:sz="4" w:space="0" w:color="FF6B35"/>
              <w:bottom w:val="single" w:sz="4" w:space="0" w:color="FF6B35"/>
              <w:right w:val="single" w:sz="4" w:space="0" w:color="FF6B35"/>
            </w:tcBorders>
          </w:tcPr>
          <w:p>
            <w:pPr>
              <w:spacing w:before="80" w:after="40"/>
            </w:pPr>
            <w:r>
              <w:rPr>
                <w:b/>
                <w:color w:val="FF6B35"/>
                <w:sz w:val="22"/>
              </w:rPr>
              <w:t>Flash Direct Pipe — One Hop Architecture</w:t>
            </w:r>
          </w:p>
          <w:p>
            <w:pPr>
              <w:spacing w:before="0" w:after="80"/>
            </w:pPr>
            <w:r>
              <w:rPr>
                <w:color w:val="1A2438"/>
                <w:sz w:val="19"/>
              </w:rPr>
              <w:t>Oracle rows go directly to PostgreSQL COPY FROM STDIN. No Arrow, no LZ4, no thread queues. Two DB connections per worker instead of four. session tuning applied automatically. 3–5× higher throughput than any other tool on the same hardware.</w:t>
            </w:r>
          </w:p>
        </w:tc>
      </w:tr>
    </w:tbl>
    <w:p/>
    <w:tbl>
      <w:tblPr>
        <w:tblW w:type="auto" w:w="0"/>
        <w:jc w:val="left"/>
        <w:tblLook w:firstColumn="1" w:firstRow="1" w:lastColumn="0" w:lastRow="0" w:noHBand="0" w:noVBand="1" w:val="04A0"/>
      </w:tblPr>
      <w:tblGrid>
        <w:gridCol w:w="4536"/>
        <w:gridCol w:w="4536"/>
      </w:tblGrid>
      <w:tr>
        <w:tc>
          <w:tcPr>
            <w:tcW w:type="dxa" w:w="850"/>
            <w:shd w:val="clear" w:color="auto" w:fill="9D4FDB"/>
          </w:tcPr>
          <w:p>
            <w:pPr>
              <w:jc w:val="center"/>
              <w:spacing w:before="120" w:after="120"/>
            </w:pPr>
            <w:r>
              <w:rPr>
                <w:b/>
                <w:color w:val="FFFFFF"/>
                <w:sz w:val="32"/>
              </w:rPr>
              <w:t>#4</w:t>
            </w:r>
          </w:p>
        </w:tc>
        <w:tc>
          <w:tcPr>
            <w:tcW w:type="dxa" w:w="4536"/>
            <w:shd w:val="clear" w:color="auto" w:fill="F8FAFF"/>
            <w:tcBorders>
              <w:top w:val="single" w:sz="4" w:space="0" w:color="9D4FDB"/>
              <w:left w:val="single" w:sz="4" w:space="0" w:color="9D4FDB"/>
              <w:bottom w:val="single" w:sz="4" w:space="0" w:color="9D4FDB"/>
              <w:right w:val="single" w:sz="4" w:space="0" w:color="9D4FDB"/>
            </w:tcBorders>
          </w:tcPr>
          <w:p>
            <w:pPr>
              <w:spacing w:before="80" w:after="40"/>
            </w:pPr>
            <w:r>
              <w:rPr>
                <w:b/>
                <w:color w:val="9D4FDB"/>
                <w:sz w:val="22"/>
              </w:rPr>
              <w:t>Retry Single Failed Table</w:t>
            </w:r>
          </w:p>
          <w:p>
            <w:pPr>
              <w:spacing w:before="0" w:after="80"/>
            </w:pPr>
            <w:r>
              <w:rPr>
                <w:color w:val="1A2438"/>
                <w:sz w:val="19"/>
              </w:rPr>
              <w:t>When a single table fails in a multi-table migration, every other tool requires restarting from scratch or manual intervention. DBMigrateAIPro shows an error dialog with classified error type and a 'Retry Table' button that re-runs just that one table using the same configuration.</w:t>
            </w:r>
          </w:p>
        </w:tc>
      </w:tr>
    </w:tbl>
    <w:p/>
    <w:tbl>
      <w:tblPr>
        <w:tblW w:type="auto" w:w="0"/>
        <w:jc w:val="left"/>
        <w:tblLook w:firstColumn="1" w:firstRow="1" w:lastColumn="0" w:lastRow="0" w:noHBand="0" w:noVBand="1" w:val="04A0"/>
      </w:tblPr>
      <w:tblGrid>
        <w:gridCol w:w="4536"/>
        <w:gridCol w:w="4536"/>
      </w:tblGrid>
      <w:tr>
        <w:tc>
          <w:tcPr>
            <w:tcW w:type="dxa" w:w="850"/>
            <w:shd w:val="clear" w:color="auto" w:fill="00D4FF"/>
          </w:tcPr>
          <w:p>
            <w:pPr>
              <w:jc w:val="center"/>
              <w:spacing w:before="120" w:after="120"/>
            </w:pPr>
            <w:r>
              <w:rPr>
                <w:b/>
                <w:color w:val="FFFFFF"/>
                <w:sz w:val="32"/>
              </w:rPr>
              <w:t>#5</w:t>
            </w:r>
          </w:p>
        </w:tc>
        <w:tc>
          <w:tcPr>
            <w:tcW w:type="dxa" w:w="4536"/>
            <w:shd w:val="clear" w:color="auto" w:fill="F8FAFF"/>
            <w:tcBorders>
              <w:top w:val="single" w:sz="4" w:space="0" w:color="00D4FF"/>
              <w:left w:val="single" w:sz="4" w:space="0" w:color="00D4FF"/>
              <w:bottom w:val="single" w:sz="4" w:space="0" w:color="00D4FF"/>
              <w:right w:val="single" w:sz="4" w:space="0" w:color="00D4FF"/>
            </w:tcBorders>
          </w:tcPr>
          <w:p>
            <w:pPr>
              <w:spacing w:before="80" w:after="40"/>
            </w:pPr>
            <w:r>
              <w:rPr>
                <w:b/>
                <w:color w:val="00D4FF"/>
                <w:sz w:val="22"/>
              </w:rPr>
              <w:t>Compound Trigger ORA-04091 Simplification</w:t>
            </w:r>
          </w:p>
          <w:p>
            <w:pPr>
              <w:spacing w:before="0" w:after="80"/>
            </w:pPr>
            <w:r>
              <w:rPr>
                <w:color w:val="1A2438"/>
                <w:sz w:val="19"/>
              </w:rPr>
              <w:t>Oracle developers build elaborate compound trigger patterns to work around the mutating-table error. PostgreSQL has no mutating-table restriction. DBMigrateAIPro detects these patterns and simplifies them to plain row-level triggers, removing thousands of lines of boilerplate automatically.</w:t>
            </w:r>
          </w:p>
        </w:tc>
      </w:tr>
    </w:tbl>
    <w:p/>
    <w:tbl>
      <w:tblPr>
        <w:tblW w:type="auto" w:w="0"/>
        <w:jc w:val="left"/>
        <w:tblLook w:firstColumn="1" w:firstRow="1" w:lastColumn="0" w:lastRow="0" w:noHBand="0" w:noVBand="1" w:val="04A0"/>
      </w:tblPr>
      <w:tblGrid>
        <w:gridCol w:w="4536"/>
        <w:gridCol w:w="4536"/>
      </w:tblGrid>
      <w:tr>
        <w:tc>
          <w:tcPr>
            <w:tcW w:type="dxa" w:w="850"/>
            <w:shd w:val="clear" w:color="auto" w:fill="FFB547"/>
          </w:tcPr>
          <w:p>
            <w:pPr>
              <w:jc w:val="center"/>
              <w:spacing w:before="120" w:after="120"/>
            </w:pPr>
            <w:r>
              <w:rPr>
                <w:b/>
                <w:color w:val="FFFFFF"/>
                <w:sz w:val="32"/>
              </w:rPr>
              <w:t>#6</w:t>
            </w:r>
          </w:p>
        </w:tc>
        <w:tc>
          <w:tcPr>
            <w:tcW w:type="dxa" w:w="4536"/>
            <w:shd w:val="clear" w:color="auto" w:fill="F8FAFF"/>
            <w:tcBorders>
              <w:top w:val="single" w:sz="4" w:space="0" w:color="FFB547"/>
              <w:left w:val="single" w:sz="4" w:space="0" w:color="FFB547"/>
              <w:bottom w:val="single" w:sz="4" w:space="0" w:color="FFB547"/>
              <w:right w:val="single" w:sz="4" w:space="0" w:color="FFB547"/>
            </w:tcBorders>
          </w:tcPr>
          <w:p>
            <w:pPr>
              <w:spacing w:before="80" w:after="40"/>
            </w:pPr>
            <w:r>
              <w:rPr>
                <w:b/>
                <w:color w:val="FFB547"/>
                <w:sz w:val="22"/>
              </w:rPr>
              <w:t>Interval Partition → pg_partman Auto-Setup</w:t>
            </w:r>
          </w:p>
          <w:p>
            <w:pPr>
              <w:spacing w:before="0" w:after="80"/>
            </w:pPr>
            <w:r>
              <w:rPr>
                <w:color w:val="1A2438"/>
                <w:sz w:val="19"/>
              </w:rPr>
              <w:t>Oracle's INTERVAL partitioning auto-creates partitions for new data. PostgreSQL has no native equivalent. DBMigrateAIPro generates a complete pg_partman configuration with pg_cron maintenance schedule — ready to run on RDS. No other migration tool automates this.</w:t>
            </w:r>
          </w:p>
        </w:tc>
      </w:tr>
    </w:tbl>
    <w:p/>
    <w:tbl>
      <w:tblPr>
        <w:tblW w:type="auto" w:w="0"/>
        <w:jc w:val="left"/>
        <w:tblLook w:firstColumn="1" w:firstRow="1" w:lastColumn="0" w:lastRow="0" w:noHBand="0" w:noVBand="1" w:val="04A0"/>
      </w:tblPr>
      <w:tblGrid>
        <w:gridCol w:w="4536"/>
        <w:gridCol w:w="4536"/>
      </w:tblGrid>
      <w:tr>
        <w:tc>
          <w:tcPr>
            <w:tcW w:type="dxa" w:w="850"/>
            <w:shd w:val="clear" w:color="auto" w:fill="2DBA6E"/>
          </w:tcPr>
          <w:p>
            <w:pPr>
              <w:jc w:val="center"/>
              <w:spacing w:before="120" w:after="120"/>
            </w:pPr>
            <w:r>
              <w:rPr>
                <w:b/>
                <w:color w:val="FFFFFF"/>
                <w:sz w:val="32"/>
              </w:rPr>
              <w:t>#7</w:t>
            </w:r>
          </w:p>
        </w:tc>
        <w:tc>
          <w:tcPr>
            <w:tcW w:type="dxa" w:w="4536"/>
            <w:shd w:val="clear" w:color="auto" w:fill="F8FAFF"/>
            <w:tcBorders>
              <w:top w:val="single" w:sz="4" w:space="0" w:color="2DBA6E"/>
              <w:left w:val="single" w:sz="4" w:space="0" w:color="2DBA6E"/>
              <w:bottom w:val="single" w:sz="4" w:space="0" w:color="2DBA6E"/>
              <w:right w:val="single" w:sz="4" w:space="0" w:color="2DBA6E"/>
            </w:tcBorders>
          </w:tcPr>
          <w:p>
            <w:pPr>
              <w:spacing w:before="80" w:after="40"/>
            </w:pPr>
            <w:r>
              <w:rPr>
                <w:b/>
                <w:color w:val="2DBA6E"/>
                <w:sz w:val="22"/>
              </w:rPr>
              <w:t>Differential Re-Run — Changed Rows Only</w:t>
            </w:r>
          </w:p>
          <w:p>
            <w:pPr>
              <w:spacing w:before="0" w:after="80"/>
            </w:pPr>
            <w:r>
              <w:rPr>
                <w:color w:val="1A2438"/>
                <w:sz w:val="19"/>
              </w:rPr>
              <w:t>(v1.1.1, shipping June 2026) Load prior source_roots.json. For each partition, compare new source root vs prior root. If match — skip COPY entirely. If mismatch — ship only the changed rows. Re-running a 'completed' migration becomes 10–100× faster for development and test cycles.</w:t>
            </w:r>
          </w:p>
        </w:tc>
      </w:tr>
    </w:tbl>
    <w:p/>
    <w:tbl>
      <w:tblPr>
        <w:tblW w:type="auto" w:w="0"/>
        <w:jc w:val="left"/>
        <w:tblLook w:firstColumn="1" w:firstRow="1" w:lastColumn="0" w:lastRow="0" w:noHBand="0" w:noVBand="1" w:val="04A0"/>
      </w:tblPr>
      <w:tblGrid>
        <w:gridCol w:w="4536"/>
        <w:gridCol w:w="4536"/>
      </w:tblGrid>
      <w:tr>
        <w:tc>
          <w:tcPr>
            <w:tcW w:type="dxa" w:w="850"/>
            <w:shd w:val="clear" w:color="auto" w:fill="0074D9"/>
          </w:tcPr>
          <w:p>
            <w:pPr>
              <w:jc w:val="center"/>
              <w:spacing w:before="120" w:after="120"/>
            </w:pPr>
            <w:r>
              <w:rPr>
                <w:b/>
                <w:color w:val="FFFFFF"/>
                <w:sz w:val="32"/>
              </w:rPr>
              <w:t>#8</w:t>
            </w:r>
          </w:p>
        </w:tc>
        <w:tc>
          <w:tcPr>
            <w:tcW w:type="dxa" w:w="4536"/>
            <w:shd w:val="clear" w:color="auto" w:fill="F8FAFF"/>
            <w:tcBorders>
              <w:top w:val="single" w:sz="4" w:space="0" w:color="0074D9"/>
              <w:left w:val="single" w:sz="4" w:space="0" w:color="0074D9"/>
              <w:bottom w:val="single" w:sz="4" w:space="0" w:color="0074D9"/>
              <w:right w:val="single" w:sz="4" w:space="0" w:color="0074D9"/>
            </w:tcBorders>
          </w:tcPr>
          <w:p>
            <w:pPr>
              <w:spacing w:before="80" w:after="40"/>
            </w:pPr>
            <w:r>
              <w:rPr>
                <w:b/>
                <w:color w:val="0074D9"/>
                <w:sz w:val="22"/>
              </w:rPr>
              <w:t>Live Digital HUD Overlay</w:t>
            </w:r>
          </w:p>
          <w:p>
            <w:pPr>
              <w:spacing w:before="0" w:after="80"/>
            </w:pPr>
            <w:r>
              <w:rPr>
                <w:color w:val="1A2438"/>
                <w:sz w:val="19"/>
              </w:rPr>
              <w:t>A translucent always-on-top monitoring overlay with 5 GlowNodes (Source → Extract → Transform → Load → Target) showing live speed, percentage, and row count in real time. Per-table progress strips. Event stream. No other migration tool has real-time visual monitoring at this fidelity.</w:t>
            </w:r>
          </w:p>
        </w:tc>
      </w:tr>
    </w:tbl>
    <w:p/>
    <w:tbl>
      <w:tblPr>
        <w:tblW w:type="auto" w:w="0"/>
        <w:jc w:val="left"/>
        <w:tblLook w:firstColumn="1" w:firstRow="1" w:lastColumn="0" w:lastRow="0" w:noHBand="0" w:noVBand="1" w:val="04A0"/>
      </w:tblPr>
      <w:tblGrid>
        <w:gridCol w:w="4536"/>
        <w:gridCol w:w="4536"/>
      </w:tblGrid>
      <w:tr>
        <w:tc>
          <w:tcPr>
            <w:tcW w:type="dxa" w:w="850"/>
            <w:shd w:val="clear" w:color="auto" w:fill="FF6B35"/>
          </w:tcPr>
          <w:p>
            <w:pPr>
              <w:jc w:val="center"/>
              <w:spacing w:before="120" w:after="120"/>
            </w:pPr>
            <w:r>
              <w:rPr>
                <w:b/>
                <w:color w:val="FFFFFF"/>
                <w:sz w:val="32"/>
              </w:rPr>
              <w:t>#9</w:t>
            </w:r>
          </w:p>
        </w:tc>
        <w:tc>
          <w:tcPr>
            <w:tcW w:type="dxa" w:w="4536"/>
            <w:shd w:val="clear" w:color="auto" w:fill="F8FAFF"/>
            <w:tcBorders>
              <w:top w:val="single" w:sz="4" w:space="0" w:color="FF6B35"/>
              <w:left w:val="single" w:sz="4" w:space="0" w:color="FF6B35"/>
              <w:bottom w:val="single" w:sz="4" w:space="0" w:color="FF6B35"/>
              <w:right w:val="single" w:sz="4" w:space="0" w:color="FF6B35"/>
            </w:tcBorders>
          </w:tcPr>
          <w:p>
            <w:pPr>
              <w:spacing w:before="80" w:after="40"/>
            </w:pPr>
            <w:r>
              <w:rPr>
                <w:b/>
                <w:color w:val="FF6B35"/>
                <w:sz w:val="22"/>
              </w:rPr>
              <w:t>DDL Bundle — Client Handoff Ready</w:t>
            </w:r>
          </w:p>
          <w:p>
            <w:pPr>
              <w:spacing w:before="0" w:after="80"/>
            </w:pPr>
            <w:r>
              <w:rPr>
                <w:color w:val="1A2438"/>
                <w:sz w:val="19"/>
              </w:rPr>
              <w:t>(Pro+) Complete DDL output: all tables, indexes, sequences, constraints, functions, triggers, and partitions — formatted, annotated, and ready to hand to a client's DBA for review or independent deployment. Includes advisor annotations on non-trivial conversions.</w:t>
            </w:r>
          </w:p>
        </w:tc>
      </w:tr>
    </w:tbl>
    <w:p/>
    <w:tbl>
      <w:tblPr>
        <w:tblW w:type="auto" w:w="0"/>
        <w:jc w:val="left"/>
        <w:tblLook w:firstColumn="1" w:firstRow="1" w:lastColumn="0" w:lastRow="0" w:noHBand="0" w:noVBand="1" w:val="04A0"/>
      </w:tblPr>
      <w:tblGrid>
        <w:gridCol w:w="4536"/>
        <w:gridCol w:w="4536"/>
      </w:tblGrid>
      <w:tr>
        <w:tc>
          <w:tcPr>
            <w:tcW w:type="dxa" w:w="850"/>
            <w:shd w:val="clear" w:color="auto" w:fill="9D4FDB"/>
          </w:tcPr>
          <w:p>
            <w:pPr>
              <w:jc w:val="center"/>
              <w:spacing w:before="120" w:after="120"/>
            </w:pPr>
            <w:r>
              <w:rPr>
                <w:b/>
                <w:color w:val="FFFFFF"/>
                <w:sz w:val="32"/>
              </w:rPr>
              <w:t>#10</w:t>
            </w:r>
          </w:p>
        </w:tc>
        <w:tc>
          <w:tcPr>
            <w:tcW w:type="dxa" w:w="4536"/>
            <w:shd w:val="clear" w:color="auto" w:fill="F8FAFF"/>
            <w:tcBorders>
              <w:top w:val="single" w:sz="4" w:space="0" w:color="9D4FDB"/>
              <w:left w:val="single" w:sz="4" w:space="0" w:color="9D4FDB"/>
              <w:bottom w:val="single" w:sz="4" w:space="0" w:color="9D4FDB"/>
              <w:right w:val="single" w:sz="4" w:space="0" w:color="9D4FDB"/>
            </w:tcBorders>
          </w:tcPr>
          <w:p>
            <w:pPr>
              <w:spacing w:before="80" w:after="40"/>
            </w:pPr>
            <w:r>
              <w:rPr>
                <w:b/>
                <w:color w:val="9D4FDB"/>
                <w:sz w:val="22"/>
              </w:rPr>
              <w:t>All-in-One: Schema + Data + PL/SQL + CDC + Validation</w:t>
            </w:r>
          </w:p>
          <w:p>
            <w:pPr>
              <w:spacing w:before="0" w:after="80"/>
            </w:pPr>
            <w:r>
              <w:rPr>
                <w:color w:val="1A2438"/>
                <w:sz w:val="19"/>
              </w:rPr>
              <w:t>Every other migration approach requires assembling 4–6 separate tools: assessment, schema conversion, data movement, CDC, validation. DBMigrateAIPro replaces all of them in a single desktop application with a unified project model — one connection config, one run history, one project folder per migration.</w:t>
            </w:r>
          </w:p>
        </w:tc>
      </w:tr>
    </w:tbl>
    <w:p/>
    <w:p>
      <w:r>
        <w:br w:type="page"/>
      </w:r>
    </w:p>
    <w:p>
      <w:pPr>
        <w:jc w:val="left"/>
        <w:spacing w:before="360" w:after="160"/>
        <w:pBdr>
          <w:bottom w:val="single" w:sz="6" w:space="4" w:color="0074D9"/>
        </w:pBdr>
      </w:pPr>
      <w:r>
        <w:rPr>
          <w:b/>
          <w:color w:val="0A182E"/>
          <w:sz w:val="36"/>
        </w:rPr>
        <w:t>Chapter 13  ·  Licensing &amp; Getting Started</w:t>
      </w:r>
    </w:p>
    <w:p>
      <w:pPr>
        <w:spacing w:before="240" w:after="80"/>
      </w:pPr>
      <w:r>
        <w:rPr>
          <w:b/>
          <w:color w:val="0074D9"/>
          <w:sz w:val="26"/>
        </w:rPr>
        <w:t>13.1  Licensing Model</w:t>
      </w:r>
    </w:p>
    <w:p>
      <w:pPr>
        <w:spacing w:before="0" w:after="100"/>
      </w:pPr>
      <w:r>
        <w:rPr>
          <w:color w:val="1A2438"/>
          <w:sz w:val="21"/>
        </w:rPr>
        <w:t>DBMigrateAIPro uses a freemium model. The Hobby tier is free forever and covers small migrations (up to 10 tables, up to 4 parallel workers). Pro and Enterprise tiers unlock Merkle validation, CDC, unlimited tables, higher parallelism, API/CLI access, and priority support.</w:t>
      </w:r>
    </w:p>
    <w:p>
      <w:pPr>
        <w:spacing w:before="0" w:after="100"/>
      </w:pPr>
      <w:r>
        <w:rPr>
          <w:color w:val="1A2438"/>
          <w:sz w:val="21"/>
        </w:rPr>
        <w:t>The DBMigrateAIPro Pro+ licence launches 2026-05-01 on medaxai.com. Enterprise pricing is available on request for organisations with large Oracle estates.</w:t>
      </w:r>
    </w:p>
    <w:p>
      <w:pPr>
        <w:spacing w:before="240" w:after="80"/>
      </w:pPr>
      <w:r>
        <w:rPr>
          <w:b/>
          <w:color w:val="0074D9"/>
          <w:sz w:val="26"/>
        </w:rPr>
        <w:t>13.2  Quick Start — Your First Migration in 15 Minutes</w:t>
      </w:r>
    </w:p>
    <w:p>
      <w:pPr>
        <w:spacing w:before="60" w:after="40"/>
      </w:pPr>
      <w:r>
        <w:rPr>
          <w:b/>
          <w:color w:val="00D4FF"/>
          <w:sz w:val="21"/>
        </w:rPr>
        <w:t xml:space="preserve">  Step 1 — Download:  </w:t>
      </w:r>
      <w:r>
        <w:rPr>
          <w:color w:val="1A2438"/>
          <w:sz w:val="21"/>
        </w:rPr>
        <w:t>Install DBMigrateAIPro from medaxai.com. Windows and macOS. No dependencies.</w:t>
      </w:r>
    </w:p>
    <w:p>
      <w:pPr>
        <w:spacing w:before="60" w:after="40"/>
      </w:pPr>
      <w:r>
        <w:rPr>
          <w:b/>
          <w:color w:val="00D4FF"/>
          <w:sz w:val="21"/>
        </w:rPr>
        <w:t xml:space="preserve">  Step 2 — Connect:  </w:t>
      </w:r>
      <w:r>
        <w:rPr>
          <w:color w:val="1A2438"/>
          <w:sz w:val="21"/>
        </w:rPr>
        <w:t>Add your Oracle source in the Connection panel: hostname, port, SID, credentials.</w:t>
      </w:r>
    </w:p>
    <w:p>
      <w:pPr>
        <w:spacing w:before="60" w:after="40"/>
      </w:pPr>
      <w:r>
        <w:rPr>
          <w:b/>
          <w:color w:val="00D4FF"/>
          <w:sz w:val="21"/>
        </w:rPr>
        <w:t xml:space="preserve">  Step 3 — Connect:  </w:t>
      </w:r>
      <w:r>
        <w:rPr>
          <w:color w:val="1A2438"/>
          <w:sz w:val="21"/>
        </w:rPr>
        <w:t>Add your PostgreSQL target: hostname, port, database, credentials.</w:t>
      </w:r>
    </w:p>
    <w:p>
      <w:pPr>
        <w:spacing w:before="60" w:after="40"/>
      </w:pPr>
      <w:r>
        <w:rPr>
          <w:b/>
          <w:color w:val="00D4FF"/>
          <w:sz w:val="21"/>
        </w:rPr>
        <w:t xml:space="preserve">  Step 4 — Scan:  </w:t>
      </w:r>
      <w:r>
        <w:rPr>
          <w:color w:val="1A2438"/>
          <w:sz w:val="21"/>
        </w:rPr>
        <w:t>Open the Object Browser. Click 'Scan Source'. Review the inventory.</w:t>
      </w:r>
    </w:p>
    <w:p>
      <w:pPr>
        <w:spacing w:before="60" w:after="40"/>
      </w:pPr>
      <w:r>
        <w:rPr>
          <w:b/>
          <w:color w:val="00D4FF"/>
          <w:sz w:val="21"/>
        </w:rPr>
        <w:t xml:space="preserve">  Step 5 — Advise:  </w:t>
      </w:r>
      <w:r>
        <w:rPr>
          <w:color w:val="1A2438"/>
          <w:sz w:val="21"/>
        </w:rPr>
        <w:t>Open the Migration Advisor. Read the Gap Report. Note the manual-required items.</w:t>
      </w:r>
    </w:p>
    <w:p>
      <w:pPr>
        <w:spacing w:before="60" w:after="40"/>
      </w:pPr>
      <w:r>
        <w:rPr>
          <w:b/>
          <w:color w:val="00D4FF"/>
          <w:sz w:val="21"/>
        </w:rPr>
        <w:t xml:space="preserve">  Step 6 — Migrate:  </w:t>
      </w:r>
      <w:r>
        <w:rPr>
          <w:color w:val="1A2438"/>
          <w:sz w:val="21"/>
        </w:rPr>
        <w:t>Drag the Oracle node to the PostgreSQL node on the canvas. Click 'Start Migration'.</w:t>
      </w:r>
    </w:p>
    <w:p>
      <w:pPr>
        <w:spacing w:before="60" w:after="40"/>
      </w:pPr>
      <w:r>
        <w:rPr>
          <w:b/>
          <w:color w:val="00D4FF"/>
          <w:sz w:val="21"/>
        </w:rPr>
        <w:t xml:space="preserve">  Step 7 — Validate:  </w:t>
      </w:r>
      <w:r>
        <w:rPr>
          <w:color w:val="1A2438"/>
          <w:sz w:val="21"/>
        </w:rPr>
        <w:t>When the migration completes, open 05_validation/compare_report.html. Verify ✓ MATCH.</w:t>
      </w:r>
    </w:p>
    <w:p>
      <w:pPr>
        <w:spacing w:before="60" w:after="40"/>
      </w:pPr>
      <w:r>
        <w:rPr>
          <w:b/>
          <w:color w:val="00D4FF"/>
          <w:sz w:val="21"/>
        </w:rPr>
        <w:t xml:space="preserve">  Step 8 — Deliver:  </w:t>
      </w:r>
      <w:r>
        <w:rPr>
          <w:color w:val="1A2438"/>
          <w:sz w:val="21"/>
        </w:rPr>
        <w:t>(Pro+) Export the DDL Bundle for client handoff.</w:t>
      </w:r>
    </w:p>
    <w:p/>
    <w:tbl>
      <w:tblPr>
        <w:tblW w:type="auto" w:w="0"/>
        <w:jc w:val="center"/>
        <w:tblLook w:firstColumn="1" w:firstRow="1" w:lastColumn="0" w:lastRow="0" w:noHBand="0" w:noVBand="1" w:val="04A0"/>
      </w:tblPr>
      <w:tblGrid>
        <w:gridCol w:w="9072"/>
      </w:tblGrid>
      <w:tr>
        <w:tc>
          <w:tcPr>
            <w:tcW w:type="dxa" w:w="9072"/>
            <w:shd w:val="clear" w:color="auto" w:fill="0A182E"/>
            <w:tcBorders>
              <w:top w:val="single" w:sz="4" w:space="0" w:color="00D4FF"/>
              <w:left w:val="single" w:sz="4" w:space="0" w:color="00D4FF"/>
              <w:bottom w:val="single" w:sz="4" w:space="0" w:color="00D4FF"/>
              <w:right w:val="single" w:sz="4" w:space="0" w:color="00D4FF"/>
            </w:tcBorders>
          </w:tcPr>
          <w:p>
            <w:pPr>
              <w:jc w:val="left"/>
              <w:spacing w:before="0" w:after="40"/>
            </w:pPr>
            <w:r>
              <w:rPr>
                <w:b/>
                <w:color w:val="00D4FF"/>
                <w:sz w:val="21"/>
              </w:rPr>
              <w:t>▸  Get DBMigrateAIPro</w:t>
            </w:r>
          </w:p>
          <w:p>
            <w:pPr>
              <w:spacing w:before="0" w:after="40"/>
            </w:pPr>
            <w:r>
              <w:rPr>
                <w:color w:val="1A2438"/>
                <w:sz w:val="20"/>
              </w:rPr>
              <w:t>Website:     medaxai.com</w:t>
            </w:r>
          </w:p>
          <w:p>
            <w:pPr>
              <w:spacing w:before="0" w:after="40"/>
            </w:pPr>
            <w:r>
              <w:rPr>
                <w:color w:val="1A2438"/>
                <w:sz w:val="20"/>
              </w:rPr>
              <w:t>Product:     DBMigrateAIPro — Oracle-to-PostgreSQL Migration Platform</w:t>
            </w:r>
          </w:p>
          <w:p>
            <w:pPr>
              <w:spacing w:before="0" w:after="40"/>
            </w:pPr>
            <w:r>
              <w:rPr>
                <w:color w:val="1A2438"/>
                <w:sz w:val="20"/>
              </w:rPr>
              <w:t>Launches:    2026-05-01</w:t>
            </w:r>
          </w:p>
          <w:p>
            <w:pPr>
              <w:spacing w:before="0" w:after="40"/>
            </w:pPr>
            <w:r>
              <w:rPr>
                <w:color w:val="1A2438"/>
                <w:sz w:val="20"/>
              </w:rPr>
              <w:t>Hobby tier:  Free forever — up to 10 tables, 4 workers</w:t>
            </w:r>
          </w:p>
          <w:p>
            <w:pPr>
              <w:spacing w:before="0" w:after="40"/>
            </w:pPr>
            <w:r>
              <w:rPr>
                <w:color w:val="1A2438"/>
                <w:sz w:val="20"/>
              </w:rPr>
              <w:t>Pro tier:    Full feature set including Merkle validation and CDC</w:t>
            </w:r>
          </w:p>
          <w:p>
            <w:pPr>
              <w:spacing w:before="0" w:after="40"/>
            </w:pPr>
            <w:r>
              <w:rPr>
                <w:color w:val="1A2438"/>
                <w:sz w:val="20"/>
              </w:rPr>
              <w:t>Enterprise:  Unlimited scale, dedicated support, SLA</w:t>
            </w:r>
          </w:p>
          <w:p>
            <w:pPr>
              <w:spacing w:before="0" w:after="40"/>
            </w:pPr>
            <w:r>
              <w:rPr>
                <w:color w:val="1A2438"/>
                <w:sz w:val="20"/>
              </w:rPr>
            </w:r>
          </w:p>
          <w:p>
            <w:pPr>
              <w:spacing w:before="0" w:after="40"/>
            </w:pPr>
            <w:r>
              <w:rPr>
                <w:color w:val="1A2438"/>
                <w:sz w:val="20"/>
              </w:rPr>
              <w:t>The first migration tool that mathematically proves your data arrived correctly.</w:t>
            </w:r>
          </w:p>
        </w:tc>
      </w:tr>
    </w:tbl>
    <w:p/>
    <w:p>
      <w:r>
        <w:br w:type="page"/>
      </w:r>
    </w:p>
    <w:p>
      <w:pPr>
        <w:jc w:val="left"/>
        <w:spacing w:before="360" w:after="160"/>
        <w:pBdr>
          <w:bottom w:val="single" w:sz="6" w:space="4" w:color="0074D9"/>
        </w:pBdr>
      </w:pPr>
      <w:r>
        <w:rPr>
          <w:b/>
          <w:color w:val="0A182E"/>
          <w:sz w:val="36"/>
        </w:rPr>
        <w:t>Appendix B  ·  Oracle → PostgreSQL Function Quick Reference</w:t>
      </w:r>
    </w:p>
    <w:p>
      <w:pPr>
        <w:spacing w:before="0" w:after="100"/>
      </w:pPr>
      <w:r>
        <w:rPr>
          <w:color w:val="1A2438"/>
          <w:sz w:val="21"/>
        </w:rPr>
        <w:t>DBMigrateAIPro auto-translates all of the following. Included here for reference and for any application-layer SQL that needs manual review.</w:t>
      </w:r>
    </w:p>
    <w:p>
      <w:pPr>
        <w:spacing w:before="240" w:after="80"/>
      </w:pPr>
      <w:r>
        <w:rPr>
          <w:b/>
          <w:color w:val="0074D9"/>
          <w:sz w:val="26"/>
        </w:rPr>
        <w:t>NULL Handling</w:t>
      </w:r>
    </w:p>
    <w:tbl>
      <w:tblPr>
        <w:tblStyle w:val="TableGrid"/>
        <w:tblW w:type="auto" w:w="0"/>
        <w:jc w:val="center"/>
        <w:tblLook w:firstColumn="1" w:firstRow="1" w:lastColumn="0" w:lastRow="0" w:noHBand="0" w:noVBand="1" w:val="04A0"/>
      </w:tblPr>
      <w:tblGrid>
        <w:gridCol w:w="3024"/>
        <w:gridCol w:w="3024"/>
        <w:gridCol w:w="3024"/>
      </w:tblGrid>
      <w:tr>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Oracle</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PostgreSQL</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Notes</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NVL(a, b)</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COALESCE(a, b)</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Direct — COALESCE accepts more args</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NVL2(a, b, c)</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CASE WHEN a IS NOT NULL THEN b ELSE c END</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No direct equivalent</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NULLIF(a, b)</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NULLIF(a, b)</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Identical</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DECODE(a,b,c,d,e)</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CASE WHEN a=b THEN c WHEN a=d THEN e END</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Auto-converted</w:t>
            </w:r>
          </w:p>
        </w:tc>
      </w:tr>
    </w:tbl>
    <w:p/>
    <w:p>
      <w:pPr>
        <w:spacing w:before="240" w:after="80"/>
      </w:pPr>
      <w:r>
        <w:rPr>
          <w:b/>
          <w:color w:val="0074D9"/>
          <w:sz w:val="26"/>
        </w:rPr>
        <w:t>String Functions</w:t>
      </w:r>
    </w:p>
    <w:tbl>
      <w:tblPr>
        <w:tblStyle w:val="TableGrid"/>
        <w:tblW w:type="auto" w:w="0"/>
        <w:jc w:val="center"/>
        <w:tblLook w:firstColumn="1" w:firstRow="1" w:lastColumn="0" w:lastRow="0" w:noHBand="0" w:noVBand="1" w:val="04A0"/>
      </w:tblPr>
      <w:tblGrid>
        <w:gridCol w:w="3024"/>
        <w:gridCol w:w="3024"/>
        <w:gridCol w:w="3024"/>
      </w:tblGrid>
      <w:tr>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Oracle</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PostgreSQL</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Notes</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SUBSTR(s, m, n)</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SUBSTRING(s FROM m FOR n)</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Also: SUBSTR(s,m,n) works in PG</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INSTR(s, sub)</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STRPOS(s, sub)</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2-arg form only — 4-arg needs custom fn</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LENGTH(s)</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LENGTH(s)</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Identical</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REGEXP_LIKE(s, pat)</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s ~ pat  or  s ~* pat</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 case-sensitive, ~* insensitive</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REGEXP_REPLACE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REGEXP_REPLACE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Same syntax</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LISTAGG(col, ',')</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STRING_AGG(col, ',')</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Direct equivalent</w:t>
            </w:r>
          </w:p>
        </w:tc>
      </w:tr>
    </w:tbl>
    <w:p/>
    <w:p>
      <w:pPr>
        <w:spacing w:before="240" w:after="80"/>
      </w:pPr>
      <w:r>
        <w:rPr>
          <w:b/>
          <w:color w:val="0074D9"/>
          <w:sz w:val="26"/>
        </w:rPr>
        <w:t>Date / Time Functions</w:t>
      </w:r>
    </w:p>
    <w:tbl>
      <w:tblPr>
        <w:tblStyle w:val="TableGrid"/>
        <w:tblW w:type="auto" w:w="0"/>
        <w:jc w:val="center"/>
        <w:tblLook w:firstColumn="1" w:firstRow="1" w:lastColumn="0" w:lastRow="0" w:noHBand="0" w:noVBand="1" w:val="04A0"/>
      </w:tblPr>
      <w:tblGrid>
        <w:gridCol w:w="3024"/>
        <w:gridCol w:w="3024"/>
        <w:gridCol w:w="3024"/>
      </w:tblGrid>
      <w:tr>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Oracle</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PostgreSQL</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Notes</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SYSDATE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CURRENT_TIMESTAMP::TIMESTAMP(0)</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Or now()::timestamp</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SYSTIMESTAMP</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CURRENT_TIMESTAMP</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Returns timestamptz</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TRUNC(d)</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DATE_TRUNC('day', d)</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Different signature</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TRUNC(d, 'MM')</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DATE_TRUNC('month', d)</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String precision in PG</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ADD_MONTHS(d, n)</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d + (n || ' months')::interval</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Or use helper function</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TO_DATE(s, fmt)</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TO_DATE(s, fmt)</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Format codes mostly same</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TO_CHAR(d, fmt)</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TO_CHAR(d, fmt)</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Identical</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LAST_DAY(d)</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(DATE_TRUNC('month',d) + '1 month - 1 day')::date</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Derived</w:t>
            </w:r>
          </w:p>
        </w:tc>
      </w:tr>
    </w:tbl>
    <w:p/>
    <w:p>
      <w:pPr>
        <w:spacing w:before="240" w:after="80"/>
      </w:pPr>
      <w:r>
        <w:rPr>
          <w:b/>
          <w:color w:val="0074D9"/>
          <w:sz w:val="26"/>
        </w:rPr>
        <w:t>Query Patterns</w:t>
      </w:r>
    </w:p>
    <w:tbl>
      <w:tblPr>
        <w:tblStyle w:val="TableGrid"/>
        <w:tblW w:type="auto" w:w="0"/>
        <w:jc w:val="center"/>
        <w:tblLook w:firstColumn="1" w:firstRow="1" w:lastColumn="0" w:lastRow="0" w:noHBand="0" w:noVBand="1" w:val="04A0"/>
      </w:tblPr>
      <w:tblGrid>
        <w:gridCol w:w="3024"/>
        <w:gridCol w:w="3024"/>
        <w:gridCol w:w="3024"/>
      </w:tblGrid>
      <w:tr>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Oracle Pattern</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PostgreSQL Equivalent</w:t>
            </w:r>
          </w:p>
        </w:tc>
        <w:tc>
          <w:tcPr>
            <w:tcW w:type="dxa" w:w="3024"/>
            <w:shd w:val="clear" w:color="auto" w:fill="0A182E"/>
            <w:tcBorders>
              <w:top w:val="single" w:sz="4" w:space="0" w:color="0A182E"/>
              <w:left w:val="single" w:sz="4" w:space="0" w:color="0A182E"/>
              <w:bottom w:val="single" w:sz="4" w:space="0" w:color="0A182E"/>
              <w:right w:val="single" w:sz="4" w:space="0" w:color="0A182E"/>
            </w:tcBorders>
          </w:tcPr>
          <w:p>
            <w:pPr>
              <w:jc w:val="center"/>
            </w:pPr>
            <w:r>
              <w:rPr>
                <w:b/>
                <w:color w:val="FFFFFF"/>
                <w:sz w:val="19"/>
              </w:rPr>
              <w:t>Notes</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SELECT ... FROM DUAL</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SELECT ...</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No DUAL needed</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WHERE ROWNUM &lt;= n</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LIMIT n</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Use LIMIT for top-N</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ROWNUM in SELECT list</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ROW_NUMBER() OVER (ORDER BY ...)</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Window function</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a (+) = b</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LEFT JOIN b ON a.col = b.col</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ANSI join syntax</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CONNECT BY … PRIOR</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WITH RECURSIVE CTE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See Chapter 5</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LISTAGG(col, ',')</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STRING_AGG(col, ',')</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Direct</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MERGE INTO … USING</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INSERT … ON CONFLICT (PG 15: MERGE)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MERGE native in PG 15+</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MINUS</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EXCEPT</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Identical semantics</w:t>
            </w:r>
          </w:p>
        </w:tc>
      </w:tr>
      <w:tr>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b/>
                <w:color w:val="1A2438"/>
                <w:sz w:val="19"/>
              </w:rPr>
              <w:t>PIVOT / UNPIVOT</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crosstab() or manual CASE</w:t>
            </w:r>
          </w:p>
        </w:tc>
        <w:tc>
          <w:tcPr>
            <w:tcW w:type="dxa" w:w="3024"/>
            <w:shd w:val="clear" w:color="auto" w:fill="F8FAFF"/>
            <w:tcBorders>
              <w:top w:val="single" w:sz="4" w:space="0" w:color="CBD5E1"/>
              <w:left w:val="single" w:sz="4" w:space="0" w:color="CBD5E1"/>
              <w:bottom w:val="single" w:sz="4" w:space="0" w:color="CBD5E1"/>
              <w:right w:val="single" w:sz="4" w:space="0" w:color="CBD5E1"/>
            </w:tcBorders>
          </w:tcPr>
          <w:p>
            <w:r>
              <w:rPr>
                <w:color w:val="1A2438"/>
                <w:sz w:val="19"/>
              </w:rPr>
              <w:t>No direct PIVOT syntax</w:t>
            </w:r>
          </w:p>
        </w:tc>
      </w:tr>
      <w:tr>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b/>
                <w:color w:val="1A2438"/>
                <w:sz w:val="19"/>
              </w:rPr>
              <w:t>EXECUTE IMMEDIATE 'sql'</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EXECUTE 'sql'</w:t>
            </w:r>
          </w:p>
        </w:tc>
        <w:tc>
          <w:tcPr>
            <w:tcW w:type="dxa" w:w="3024"/>
            <w:shd w:val="clear" w:color="auto" w:fill="FFFFFF"/>
            <w:tcBorders>
              <w:top w:val="single" w:sz="4" w:space="0" w:color="CBD5E1"/>
              <w:left w:val="single" w:sz="4" w:space="0" w:color="CBD5E1"/>
              <w:bottom w:val="single" w:sz="4" w:space="0" w:color="CBD5E1"/>
              <w:right w:val="single" w:sz="4" w:space="0" w:color="CBD5E1"/>
            </w:tcBorders>
          </w:tcPr>
          <w:p>
            <w:r>
              <w:rPr>
                <w:color w:val="1A2438"/>
                <w:sz w:val="19"/>
              </w:rPr>
              <w:t>Inside plpgsql</w:t>
            </w:r>
          </w:p>
        </w:tc>
      </w:tr>
    </w:tbl>
    <w:p/>
    <w:p>
      <w:r>
        <w:br w:type="page"/>
      </w:r>
    </w:p>
    <w:p/>
    <w:p/>
    <w:p/>
    <w:tbl>
      <w:tblPr>
        <w:tblW w:type="auto" w:w="0"/>
        <w:jc w:val="center"/>
        <w:tblLook w:firstColumn="1" w:firstRow="1" w:lastColumn="0" w:lastRow="0" w:noHBand="0" w:noVBand="1" w:val="04A0"/>
      </w:tblPr>
      <w:tblGrid>
        <w:gridCol w:w="9072"/>
      </w:tblGrid>
      <w:tr>
        <w:tc>
          <w:tcPr>
            <w:tcW w:type="dxa" w:w="9072"/>
            <w:shd w:val="clear" w:color="auto" w:fill="0A182E"/>
          </w:tcPr>
          <w:p>
            <w:pPr>
              <w:jc w:val="center"/>
              <w:spacing w:before="400" w:after="160"/>
            </w:pPr>
            <w:r>
              <w:rPr>
                <w:b/>
                <w:color w:val="00D4FF"/>
                <w:sz w:val="56"/>
              </w:rPr>
              <w:t>»  DBMigrateAIPro</w:t>
            </w:r>
          </w:p>
          <w:p>
            <w:pPr>
              <w:jc w:val="center"/>
              <w:spacing w:before="0" w:after="160"/>
            </w:pPr>
            <w:r>
              <w:rPr>
                <w:i/>
                <w:color w:val="B0C8F0"/>
                <w:sz w:val="28"/>
              </w:rPr>
              <w:t>The only migration tool that mathematically proves</w:t>
              <w:br/>
              <w:t>your data arrived correctly.</w:t>
            </w:r>
          </w:p>
          <w:p>
            <w:pPr>
              <w:jc w:val="center"/>
              <w:spacing w:before="160" w:after="160"/>
            </w:pPr>
            <w:r>
              <w:rPr>
                <w:color w:val="00D4FF"/>
                <w:sz w:val="22"/>
              </w:rPr>
              <w:t>Flash Direct Pipe  ·  Merkle-Tree Validation  ·  AI Migration Advisor</w:t>
              <w:br/>
            </w:r>
            <w:r>
              <w:rPr>
                <w:color w:val="00D4FF"/>
                <w:sz w:val="22"/>
              </w:rPr>
              <w:t>CDC Replication  ·  Gap Report  ·  Live HUD  ·  DDL Bundle</w:t>
            </w:r>
          </w:p>
          <w:p>
            <w:pPr>
              <w:jc w:val="center"/>
              <w:spacing w:before="200" w:after="320"/>
            </w:pPr>
            <w:r>
              <w:rPr>
                <w:color w:val="5A6A84"/>
                <w:sz w:val="20"/>
              </w:rPr>
              <w:t>medaxai.com   ·   Launching May 2026</w:t>
            </w:r>
          </w:p>
        </w:tc>
      </w:tr>
    </w:tbl>
    <w:sectPr w:rsidR="00FC693F" w:rsidRPr="0006063C" w:rsidSect="00034616">
      <w:pgSz w:w="11906" w:h="16838"/>
      <w:pgMar w:top="1417" w:right="1417"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color w:val="1A2438"/>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